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ascii="Arial" w:hAnsi="Arial" w:cs="Arial"/>
          <w:b/>
          <w:sz w:val="24"/>
        </w:rPr>
        <w:t xml:space="preserve">3GPP TSG-RAN WG4 Meeting </w:t>
      </w:r>
      <w:r>
        <w:rPr>
          <w:rFonts w:hint="eastAsia" w:ascii="Arial" w:hAnsi="Arial" w:cs="Arial"/>
          <w:b/>
          <w:sz w:val="24"/>
          <w:lang w:eastAsia="zh-CN"/>
        </w:rPr>
        <w:t>#10</w:t>
      </w:r>
      <w:r>
        <w:rPr>
          <w:rFonts w:hint="eastAsia" w:ascii="Arial" w:hAnsi="Arial" w:cs="Arial"/>
          <w:b/>
          <w:sz w:val="24"/>
          <w:lang w:val="en-US" w:eastAsia="zh-CN"/>
        </w:rPr>
        <w:t>9</w:t>
      </w:r>
      <w:r>
        <w:rPr>
          <w:rFonts w:ascii="Arial" w:hAnsi="Arial" w:eastAsia="MS Mincho"/>
          <w:b/>
          <w:sz w:val="24"/>
        </w:rPr>
        <w:tab/>
      </w:r>
      <w:r>
        <w:rPr>
          <w:rFonts w:ascii="Arial" w:hAnsi="Arial"/>
          <w:b/>
          <w:sz w:val="24"/>
          <w:lang w:eastAsia="zh-CN"/>
        </w:rPr>
        <w:t>R4-2</w:t>
      </w:r>
      <w:r>
        <w:rPr>
          <w:rFonts w:hint="eastAsia" w:ascii="Arial" w:hAnsi="Arial"/>
          <w:b/>
          <w:sz w:val="24"/>
          <w:lang w:eastAsia="zh-CN"/>
        </w:rPr>
        <w:t>3</w:t>
      </w:r>
      <w:r>
        <w:rPr>
          <w:rFonts w:hint="eastAsia" w:ascii="Arial" w:hAnsi="Arial"/>
          <w:b/>
          <w:sz w:val="24"/>
          <w:lang w:val="en-US" w:eastAsia="zh-CN"/>
        </w:rPr>
        <w:t>20429</w:t>
      </w:r>
    </w:p>
    <w:p>
      <w:pPr>
        <w:tabs>
          <w:tab w:val="left" w:pos="3106"/>
          <w:tab w:val="center" w:pos="4536"/>
          <w:tab w:val="right" w:pos="9072"/>
        </w:tabs>
        <w:jc w:val="both"/>
        <w:rPr>
          <w:rFonts w:ascii="Arial" w:hAnsi="Arial" w:eastAsia="宋体"/>
          <w:b/>
          <w:sz w:val="24"/>
          <w:lang w:val="en-GB" w:eastAsia="zh-CN"/>
        </w:rPr>
      </w:pPr>
      <w:r>
        <w:rPr>
          <w:rFonts w:ascii="Arial" w:hAnsi="Arial" w:eastAsia="宋体" w:cs="Arial"/>
          <w:b/>
          <w:sz w:val="24"/>
          <w:szCs w:val="24"/>
          <w:lang w:eastAsia="zh-CN"/>
        </w:rPr>
        <w:t>Chicago, US</w:t>
      </w:r>
      <w:r>
        <w:rPr>
          <w:rFonts w:hint="eastAsia" w:ascii="Arial" w:hAnsi="Arial" w:eastAsia="宋体"/>
          <w:b/>
          <w:color w:val="auto"/>
          <w:sz w:val="24"/>
          <w:lang w:val="en-US" w:eastAsia="zh-CN"/>
        </w:rPr>
        <w:t>,</w:t>
      </w:r>
      <w:r>
        <w:rPr>
          <w:rFonts w:ascii="Arial" w:hAnsi="Arial" w:eastAsia="宋体"/>
          <w:b/>
          <w:color w:val="auto"/>
          <w:sz w:val="24"/>
          <w:lang w:eastAsia="zh-CN"/>
        </w:rPr>
        <w:t xml:space="preserve"> </w:t>
      </w:r>
      <w:r>
        <w:rPr>
          <w:rFonts w:hint="eastAsia" w:ascii="Arial" w:hAnsi="Arial" w:eastAsia="宋体"/>
          <w:b/>
          <w:color w:val="auto"/>
          <w:sz w:val="24"/>
          <w:lang w:val="en-US" w:eastAsia="zh-CN"/>
        </w:rPr>
        <w:t>13</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17</w:t>
      </w:r>
      <w:r>
        <w:rPr>
          <w:rFonts w:ascii="Arial" w:hAnsi="Arial" w:cs="Arial"/>
          <w:b/>
          <w:bCs/>
          <w:sz w:val="24"/>
          <w:szCs w:val="24"/>
        </w:rPr>
        <w:t xml:space="preserve"> </w:t>
      </w:r>
      <w:r>
        <w:rPr>
          <w:rFonts w:hint="eastAsia" w:ascii="Arial" w:hAnsi="Arial" w:eastAsia="宋体" w:cs="Arial"/>
          <w:b/>
          <w:bCs/>
          <w:sz w:val="24"/>
          <w:szCs w:val="24"/>
          <w:lang w:val="en-US" w:eastAsia="zh-CN"/>
        </w:rPr>
        <w:t>Nov</w:t>
      </w:r>
      <w:r>
        <w:rPr>
          <w:rFonts w:ascii="Arial" w:hAnsi="Arial" w:eastAsia="宋体"/>
          <w:b/>
          <w:sz w:val="24"/>
          <w:lang w:eastAsia="zh-CN"/>
        </w:rPr>
        <w:t>, 202</w:t>
      </w:r>
      <w:r>
        <w:rPr>
          <w:rFonts w:hint="eastAsia" w:ascii="Arial" w:hAnsi="Arial" w:eastAsia="宋体"/>
          <w:b/>
          <w:sz w:val="24"/>
          <w:lang w:eastAsia="zh-CN"/>
        </w:rPr>
        <w:t>3</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5"/>
        <w:tabs>
          <w:tab w:val="left" w:pos="1800"/>
          <w:tab w:val="clear" w:pos="4536"/>
        </w:tabs>
        <w:spacing w:after="60"/>
        <w:ind w:left="1800" w:hanging="1800"/>
        <w:jc w:val="both"/>
        <w:rPr>
          <w:rFonts w:eastAsia="宋体"/>
          <w:sz w:val="24"/>
          <w:lang w:val="en-US" w:eastAsia="zh-CN"/>
        </w:rPr>
      </w:pPr>
      <w:r>
        <w:rPr>
          <w:sz w:val="24"/>
          <w:lang w:val="en-US"/>
        </w:rPr>
        <w:t>Source:</w:t>
      </w:r>
      <w:r>
        <w:rPr>
          <w:sz w:val="24"/>
          <w:lang w:val="en-US"/>
        </w:rPr>
        <w:tab/>
      </w:r>
      <w:r>
        <w:rPr>
          <w:rFonts w:eastAsia="宋体"/>
          <w:sz w:val="24"/>
          <w:lang w:val="en-US" w:eastAsia="zh-CN"/>
        </w:rPr>
        <w:t>ZTE Corporation</w:t>
      </w:r>
    </w:p>
    <w:p>
      <w:pPr>
        <w:pStyle w:val="15"/>
        <w:tabs>
          <w:tab w:val="left" w:pos="1800"/>
          <w:tab w:val="clear" w:pos="4536"/>
        </w:tabs>
        <w:spacing w:after="60"/>
        <w:ind w:left="1807" w:hanging="1807" w:hangingChars="750"/>
        <w:rPr>
          <w:rFonts w:eastAsia="宋体"/>
          <w:sz w:val="24"/>
          <w:lang w:val="en-US" w:eastAsia="zh-CN"/>
        </w:rPr>
      </w:pPr>
      <w:r>
        <w:rPr>
          <w:sz w:val="24"/>
          <w:lang w:val="en-US"/>
        </w:rPr>
        <w:t>Title:</w:t>
      </w:r>
      <w:r>
        <w:rPr>
          <w:sz w:val="24"/>
          <w:lang w:val="en-US"/>
        </w:rPr>
        <w:tab/>
      </w:r>
      <w:r>
        <w:rPr>
          <w:rFonts w:hint="eastAsia" w:eastAsia="宋体"/>
          <w:sz w:val="24"/>
          <w:lang w:val="en-US" w:eastAsia="zh-CN"/>
        </w:rPr>
        <w:t>Discussion on SSB-less SCell operation of Network energy saving for NR</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rPr>
        <w:t>Agenda Item:</w:t>
      </w:r>
      <w:r>
        <w:rPr>
          <w:sz w:val="24"/>
        </w:rPr>
        <w:tab/>
      </w:r>
      <w:r>
        <w:rPr>
          <w:rFonts w:hint="eastAsia" w:eastAsia="宋体"/>
          <w:sz w:val="24"/>
          <w:lang w:val="en-US" w:eastAsia="zh-CN"/>
        </w:rPr>
        <w:t>8.34.3.2</w:t>
      </w:r>
    </w:p>
    <w:p>
      <w:pPr>
        <w:pStyle w:val="15"/>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eastAsia="宋体"/>
          <w:lang w:eastAsia="zh-CN"/>
        </w:rPr>
        <w:t>Introduction</w:t>
      </w:r>
    </w:p>
    <w:p>
      <w:pPr>
        <w:pStyle w:val="11"/>
        <w:tabs>
          <w:tab w:val="left" w:pos="226"/>
          <w:tab w:val="left" w:pos="284"/>
          <w:tab w:val="left" w:pos="5103"/>
        </w:tabs>
        <w:snapToGrid w:val="0"/>
        <w:spacing w:before="156" w:beforeLines="50"/>
        <w:rPr>
          <w:rFonts w:hint="eastAsia" w:eastAsia="宋体"/>
          <w:szCs w:val="20"/>
          <w:lang w:val="en-US" w:eastAsia="zh-CN"/>
        </w:rPr>
      </w:pPr>
      <w:r>
        <w:rPr>
          <w:rFonts w:eastAsia="宋体"/>
          <w:szCs w:val="20"/>
          <w:lang w:val="en-US" w:eastAsia="zh-CN"/>
        </w:rPr>
        <w:t>In</w:t>
      </w:r>
      <w:r>
        <w:rPr>
          <w:rFonts w:hint="eastAsia" w:eastAsia="宋体"/>
          <w:szCs w:val="20"/>
          <w:lang w:val="en-US" w:eastAsia="zh-CN"/>
        </w:rPr>
        <w:t xml:space="preserve"> last meeting, the discussion on side conditions around the SSB-less SCell operation of NES were held. Some progress on side condition were achieved in [1]. They are summarized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numPr>
                <w:ilvl w:val="0"/>
                <w:numId w:val="0"/>
              </w:numPr>
              <w:ind w:left="720" w:hanging="720"/>
              <w:rPr>
                <w:sz w:val="24"/>
                <w:szCs w:val="16"/>
              </w:rPr>
            </w:pPr>
            <w:r>
              <w:rPr>
                <w:sz w:val="24"/>
                <w:szCs w:val="16"/>
              </w:rPr>
              <w:t>Sub-topic 1-2 Feasibility conditions</w:t>
            </w:r>
          </w:p>
          <w:p>
            <w:pPr>
              <w:rPr>
                <w:b/>
                <w:u w:val="single"/>
                <w:lang w:eastAsia="ko-KR"/>
              </w:rPr>
            </w:pPr>
            <w:r>
              <w:rPr>
                <w:b/>
                <w:u w:val="single"/>
                <w:lang w:eastAsia="ko-KR"/>
              </w:rPr>
              <w:t>Issue 1-2-1: RTD conditions for scenario 1 – whether to consider RTD ≤ 260 ns</w:t>
            </w:r>
          </w:p>
          <w:p>
            <w:pPr>
              <w:rPr>
                <w:lang w:eastAsia="zh-CN"/>
              </w:rPr>
            </w:pPr>
            <w:r>
              <w:rPr>
                <w:lang w:eastAsia="zh-CN"/>
              </w:rPr>
              <w:t>Agreement:</w:t>
            </w:r>
          </w:p>
          <w:p>
            <w:pPr>
              <w:numPr>
                <w:ilvl w:val="0"/>
                <w:numId w:val="6"/>
              </w:numPr>
              <w:overflowPunct w:val="0"/>
              <w:autoSpaceDE w:val="0"/>
              <w:autoSpaceDN w:val="0"/>
              <w:adjustRightInd w:val="0"/>
              <w:textAlignment w:val="baseline"/>
              <w:rPr>
                <w:szCs w:val="24"/>
                <w:lang w:eastAsia="zh-CN"/>
              </w:rPr>
            </w:pPr>
            <w:r>
              <w:rPr>
                <w:szCs w:val="24"/>
                <w:lang w:eastAsia="zh-CN"/>
              </w:rPr>
              <w:t xml:space="preserve">One set of condition (i.e. </w:t>
            </w:r>
            <w:r>
              <w:rPr>
                <w:rFonts w:hint="eastAsia"/>
                <w:szCs w:val="24"/>
                <w:lang w:eastAsia="zh-CN"/>
              </w:rPr>
              <w:t>RTD ≤ CP</w:t>
            </w:r>
            <w:r>
              <w:rPr>
                <w:szCs w:val="24"/>
                <w:lang w:eastAsia="zh-CN"/>
              </w:rPr>
              <w:t xml:space="preserve"> agreed in RAN4#108) and one requirement</w:t>
            </w:r>
          </w:p>
          <w:p>
            <w:pPr>
              <w:numPr>
                <w:ilvl w:val="0"/>
                <w:numId w:val="7"/>
              </w:numPr>
              <w:overflowPunct w:val="0"/>
              <w:autoSpaceDE w:val="0"/>
              <w:autoSpaceDN w:val="0"/>
              <w:adjustRightInd w:val="0"/>
              <w:spacing w:after="120"/>
              <w:textAlignment w:val="baseline"/>
              <w:rPr>
                <w:lang w:eastAsia="zh-CN"/>
              </w:rPr>
            </w:pPr>
            <w:r>
              <w:rPr>
                <w:szCs w:val="24"/>
                <w:lang w:eastAsia="zh-CN"/>
              </w:rPr>
              <w:t>TRS/A-TRS is needed for Scell activation</w:t>
            </w:r>
          </w:p>
          <w:p>
            <w:pPr>
              <w:rPr>
                <w:b/>
                <w:u w:val="single"/>
                <w:lang w:eastAsia="ko-KR"/>
              </w:rPr>
            </w:pPr>
            <w:r>
              <w:rPr>
                <w:b/>
                <w:u w:val="single"/>
                <w:lang w:eastAsia="ko-KR"/>
              </w:rPr>
              <w:t>Issue 1-2-2: RTD conditions for scenario 1 – clarifications on CP length</w:t>
            </w:r>
          </w:p>
          <w:p>
            <w:pPr>
              <w:rPr>
                <w:lang w:eastAsia="zh-CN"/>
              </w:rPr>
            </w:pPr>
            <w:r>
              <w:rPr>
                <w:sz w:val="22"/>
                <w:lang w:eastAsia="zh-CN"/>
              </w:rPr>
              <w:t>Agreement</w:t>
            </w:r>
            <w:r>
              <w:rPr>
                <w:lang w:eastAsia="zh-CN"/>
              </w:rPr>
              <w:t>:</w:t>
            </w:r>
          </w:p>
          <w:p>
            <w:pPr>
              <w:rPr>
                <w:lang w:val="en-US" w:eastAsia="zh-CN"/>
              </w:rPr>
            </w:pPr>
            <w:r>
              <w:rPr>
                <w:szCs w:val="24"/>
                <w:lang w:eastAsia="zh-CN"/>
              </w:rPr>
              <w:t>The CP corresponds to the SCS of SSB-less SCell</w:t>
            </w:r>
          </w:p>
          <w:p>
            <w:pPr>
              <w:pStyle w:val="32"/>
              <w:numPr>
                <w:ilvl w:val="0"/>
                <w:numId w:val="0"/>
              </w:numPr>
              <w:overflowPunct w:val="0"/>
              <w:autoSpaceDE w:val="0"/>
              <w:autoSpaceDN w:val="0"/>
              <w:adjustRightInd w:val="0"/>
              <w:spacing w:after="120" w:line="252" w:lineRule="auto"/>
              <w:rPr>
                <w:b/>
                <w:u w:val="single"/>
                <w:lang w:eastAsia="ko-KR"/>
              </w:rPr>
            </w:pPr>
            <w:r>
              <w:rPr>
                <w:b/>
                <w:u w:val="single"/>
                <w:lang w:eastAsia="ko-KR"/>
              </w:rPr>
              <w:t>Issue 1-2-3: Power difference conditions for scenario 1</w:t>
            </w:r>
          </w:p>
          <w:p>
            <w:pPr>
              <w:overflowPunct w:val="0"/>
              <w:autoSpaceDE w:val="0"/>
              <w:autoSpaceDN w:val="0"/>
              <w:adjustRightInd w:val="0"/>
              <w:textAlignment w:val="baseline"/>
              <w:rPr>
                <w:rFonts w:eastAsia="等线"/>
                <w:szCs w:val="21"/>
              </w:rPr>
            </w:pPr>
            <w:r>
              <w:rPr>
                <w:rFonts w:hint="eastAsia" w:eastAsia="等线"/>
                <w:szCs w:val="21"/>
              </w:rPr>
              <w:t>B</w:t>
            </w:r>
            <w:r>
              <w:rPr>
                <w:rFonts w:eastAsia="等线"/>
                <w:szCs w:val="21"/>
              </w:rPr>
              <w:t xml:space="preserve">oth </w:t>
            </w:r>
            <w:r>
              <w:rPr>
                <w:rFonts w:eastAsia="等线"/>
                <w:szCs w:val="21"/>
                <w:lang w:eastAsia="ko-KR"/>
              </w:rPr>
              <w:t xml:space="preserve">Set </w:t>
            </w:r>
            <w:r>
              <w:rPr>
                <w:rFonts w:eastAsia="等线"/>
                <w:szCs w:val="21"/>
              </w:rPr>
              <w:t xml:space="preserve">1 and 2 </w:t>
            </w:r>
            <w:r>
              <w:rPr>
                <w:rFonts w:eastAsia="等线"/>
                <w:szCs w:val="21"/>
                <w:lang w:eastAsia="ko-KR"/>
              </w:rPr>
              <w:t xml:space="preserve">conditions </w:t>
            </w:r>
            <w:r>
              <w:rPr>
                <w:rFonts w:eastAsia="等线"/>
                <w:szCs w:val="21"/>
              </w:rPr>
              <w:t>are possible from network deployment perspective, and may have different conditions for different band combinations.</w:t>
            </w:r>
          </w:p>
          <w:p>
            <w:pPr>
              <w:numPr>
                <w:ilvl w:val="0"/>
                <w:numId w:val="8"/>
              </w:numPr>
              <w:overflowPunct/>
              <w:autoSpaceDE/>
              <w:autoSpaceDN/>
              <w:adjustRightInd/>
              <w:spacing w:after="120"/>
              <w:textAlignment w:val="auto"/>
              <w:rPr>
                <w:rFonts w:eastAsia="等线"/>
                <w:szCs w:val="21"/>
              </w:rPr>
            </w:pPr>
            <w:r>
              <w:rPr>
                <w:rFonts w:eastAsia="等线"/>
                <w:szCs w:val="21"/>
              </w:rPr>
              <w:t>Set 1: The maximum received Power difference can be up to 6dB</w:t>
            </w:r>
          </w:p>
          <w:p>
            <w:pPr>
              <w:numPr>
                <w:ilvl w:val="0"/>
                <w:numId w:val="8"/>
              </w:numPr>
              <w:overflowPunct/>
              <w:autoSpaceDE/>
              <w:autoSpaceDN/>
              <w:adjustRightInd/>
              <w:spacing w:after="120"/>
              <w:textAlignment w:val="auto"/>
              <w:rPr>
                <w:rFonts w:eastAsia="等线"/>
                <w:szCs w:val="21"/>
              </w:rPr>
            </w:pPr>
            <w:r>
              <w:rPr>
                <w:rFonts w:eastAsia="等线"/>
                <w:szCs w:val="21"/>
              </w:rPr>
              <w:t xml:space="preserve">Set 2: The maximum received Power difference can be up to </w:t>
            </w:r>
            <w:r>
              <w:rPr>
                <w:rFonts w:hint="eastAsia" w:eastAsia="等线"/>
                <w:szCs w:val="21"/>
              </w:rPr>
              <w:t>[</w:t>
            </w:r>
            <w:r>
              <w:rPr>
                <w:rFonts w:eastAsia="等线"/>
                <w:szCs w:val="21"/>
              </w:rPr>
              <w:t>X] dB, and X is larger than 6.</w:t>
            </w:r>
          </w:p>
          <w:p>
            <w:pPr>
              <w:rPr>
                <w:rFonts w:eastAsia="等线"/>
                <w:szCs w:val="21"/>
              </w:rPr>
            </w:pPr>
            <w:r>
              <w:rPr>
                <w:sz w:val="22"/>
                <w:lang w:eastAsia="zh-CN"/>
              </w:rPr>
              <w:t>Agreement</w:t>
            </w:r>
            <w:r>
              <w:rPr>
                <w:lang w:eastAsia="zh-CN"/>
              </w:rPr>
              <w:t>:</w:t>
            </w:r>
          </w:p>
          <w:p>
            <w:pPr>
              <w:numPr>
                <w:ilvl w:val="0"/>
                <w:numId w:val="6"/>
              </w:numPr>
              <w:overflowPunct w:val="0"/>
              <w:autoSpaceDE w:val="0"/>
              <w:autoSpaceDN w:val="0"/>
              <w:adjustRightInd w:val="0"/>
              <w:textAlignment w:val="baseline"/>
              <w:rPr>
                <w:szCs w:val="24"/>
              </w:rPr>
            </w:pPr>
            <w:r>
              <w:rPr>
                <w:szCs w:val="24"/>
              </w:rPr>
              <w:t>One set of condition (Set 2) and one requirement</w:t>
            </w:r>
          </w:p>
          <w:p>
            <w:pPr>
              <w:numPr>
                <w:ilvl w:val="0"/>
                <w:numId w:val="7"/>
              </w:numPr>
              <w:overflowPunct w:val="0"/>
              <w:autoSpaceDE w:val="0"/>
              <w:autoSpaceDN w:val="0"/>
              <w:adjustRightInd w:val="0"/>
              <w:spacing w:after="120"/>
              <w:textAlignment w:val="baseline"/>
              <w:rPr>
                <w:rFonts w:eastAsia="等线"/>
                <w:szCs w:val="21"/>
              </w:rPr>
            </w:pPr>
            <w:r>
              <w:rPr>
                <w:rFonts w:eastAsia="等线"/>
                <w:szCs w:val="21"/>
              </w:rPr>
              <w:t xml:space="preserve">Set 2: The maximum received Power difference can be up to </w:t>
            </w:r>
            <w:r>
              <w:rPr>
                <w:rFonts w:hint="eastAsia" w:eastAsia="等线"/>
                <w:szCs w:val="21"/>
              </w:rPr>
              <w:t>[</w:t>
            </w:r>
            <w:r>
              <w:rPr>
                <w:rFonts w:eastAsia="等线"/>
                <w:szCs w:val="21"/>
              </w:rPr>
              <w:t>X] dB, and X is larger than 6.</w:t>
            </w:r>
          </w:p>
          <w:p>
            <w:pPr>
              <w:numPr>
                <w:ilvl w:val="0"/>
                <w:numId w:val="7"/>
              </w:numPr>
              <w:overflowPunct w:val="0"/>
              <w:autoSpaceDE w:val="0"/>
              <w:autoSpaceDN w:val="0"/>
              <w:adjustRightInd w:val="0"/>
              <w:spacing w:after="120"/>
              <w:textAlignment w:val="baseline"/>
              <w:rPr>
                <w:rFonts w:eastAsia="等线"/>
                <w:szCs w:val="21"/>
              </w:rPr>
            </w:pPr>
            <w:r>
              <w:rPr>
                <w:rFonts w:eastAsia="等线"/>
                <w:szCs w:val="21"/>
              </w:rPr>
              <w:t>TRS/A-TRS is needed for Scell activation</w:t>
            </w:r>
          </w:p>
          <w:p>
            <w:pPr>
              <w:pStyle w:val="4"/>
              <w:numPr>
                <w:ilvl w:val="0"/>
                <w:numId w:val="0"/>
              </w:numPr>
              <w:ind w:left="720" w:hanging="720"/>
              <w:rPr>
                <w:b/>
                <w:u w:val="single"/>
                <w:lang w:eastAsia="ko-KR"/>
              </w:rPr>
            </w:pPr>
            <w:r>
              <w:rPr>
                <w:sz w:val="24"/>
                <w:szCs w:val="16"/>
                <w:lang w:val="en-US"/>
              </w:rPr>
              <w:t>Sub-topic 1-4 L1 measurement for SSB-less Scell</w:t>
            </w:r>
          </w:p>
          <w:p>
            <w:pPr>
              <w:rPr>
                <w:b/>
                <w:u w:val="single"/>
                <w:lang w:eastAsia="ko-KR"/>
              </w:rPr>
            </w:pPr>
            <w:r>
              <w:rPr>
                <w:b/>
                <w:u w:val="single"/>
                <w:lang w:eastAsia="ko-KR"/>
              </w:rPr>
              <w:t>Issue 1-4-1: Whether to have L1 measurement on SSB-less SCell</w:t>
            </w:r>
          </w:p>
          <w:p>
            <w:pPr>
              <w:rPr>
                <w:lang w:val="en-US" w:eastAsia="zh-CN"/>
              </w:rPr>
            </w:pPr>
            <w:r>
              <w:rPr>
                <w:lang w:val="en-US" w:eastAsia="zh-CN"/>
              </w:rPr>
              <w:t>Agreement:</w:t>
            </w:r>
          </w:p>
          <w:p>
            <w:pPr>
              <w:pStyle w:val="32"/>
              <w:numPr>
                <w:ilvl w:val="0"/>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When CSI-RS based L1 measurement is configured, legacy requirements apply. </w:t>
            </w:r>
          </w:p>
          <w:p>
            <w:pPr>
              <w:pStyle w:val="32"/>
              <w:numPr>
                <w:ilvl w:val="0"/>
                <w:numId w:val="9"/>
              </w:numPr>
              <w:overflowPunct/>
              <w:autoSpaceDE/>
              <w:autoSpaceDN/>
              <w:adjustRightInd/>
              <w:spacing w:after="120"/>
              <w:ind w:firstLineChars="0"/>
              <w:textAlignment w:val="auto"/>
              <w:rPr>
                <w:lang w:val="en-US" w:eastAsia="zh-CN"/>
              </w:rPr>
            </w:pPr>
            <w:r>
              <w:rPr>
                <w:rFonts w:eastAsia="宋体"/>
                <w:szCs w:val="24"/>
                <w:lang w:eastAsia="zh-CN"/>
              </w:rPr>
              <w:t>No RRM spec impact.</w:t>
            </w:r>
          </w:p>
          <w:p>
            <w:pPr>
              <w:pStyle w:val="4"/>
              <w:numPr>
                <w:ilvl w:val="0"/>
                <w:numId w:val="0"/>
              </w:numPr>
              <w:ind w:left="720" w:hanging="720"/>
              <w:rPr>
                <w:b/>
                <w:u w:val="single"/>
                <w:lang w:val="en-US" w:eastAsia="ko-KR"/>
              </w:rPr>
            </w:pPr>
            <w:r>
              <w:rPr>
                <w:sz w:val="24"/>
                <w:szCs w:val="16"/>
                <w:lang w:val="en-US"/>
              </w:rPr>
              <w:t>Sub-topic 1-5 L3 measurement for SSB-less SCell</w:t>
            </w:r>
          </w:p>
          <w:p>
            <w:pPr>
              <w:rPr>
                <w:b/>
                <w:u w:val="single"/>
                <w:lang w:eastAsia="ko-KR"/>
              </w:rPr>
            </w:pPr>
            <w:r>
              <w:rPr>
                <w:b/>
                <w:u w:val="single"/>
                <w:lang w:eastAsia="ko-KR"/>
              </w:rPr>
              <w:t xml:space="preserve">Issue 1-5-1: L3 RRM requirements </w:t>
            </w:r>
          </w:p>
          <w:p>
            <w:pPr>
              <w:spacing w:after="120"/>
              <w:rPr>
                <w:szCs w:val="24"/>
                <w:lang w:eastAsia="zh-CN"/>
              </w:rPr>
            </w:pPr>
            <w:r>
              <w:rPr>
                <w:szCs w:val="24"/>
                <w:lang w:eastAsia="zh-CN"/>
              </w:rPr>
              <w:t>Agreement:</w:t>
            </w:r>
          </w:p>
          <w:p>
            <w:pPr>
              <w:pStyle w:val="32"/>
              <w:numPr>
                <w:ilvl w:val="0"/>
                <w:numId w:val="10"/>
              </w:numPr>
              <w:overflowPunct/>
              <w:autoSpaceDE/>
              <w:autoSpaceDN/>
              <w:adjustRightInd/>
              <w:spacing w:after="120"/>
              <w:ind w:left="520" w:leftChars="0" w:firstLineChars="0"/>
              <w:textAlignment w:val="auto"/>
              <w:rPr>
                <w:rFonts w:eastAsia="宋体"/>
                <w:szCs w:val="24"/>
                <w:lang w:eastAsia="zh-CN"/>
              </w:rPr>
            </w:pPr>
            <w:r>
              <w:rPr>
                <w:rFonts w:eastAsia="宋体"/>
                <w:szCs w:val="24"/>
                <w:lang w:eastAsia="zh-CN"/>
              </w:rPr>
              <w:t>No RRM impacts on L3 measurement for inter-band SSB-less operation.</w:t>
            </w:r>
          </w:p>
          <w:p>
            <w:pPr>
              <w:pStyle w:val="4"/>
              <w:numPr>
                <w:ilvl w:val="0"/>
                <w:numId w:val="0"/>
              </w:numPr>
              <w:ind w:left="720" w:hanging="720"/>
              <w:rPr>
                <w:sz w:val="24"/>
                <w:szCs w:val="16"/>
              </w:rPr>
            </w:pPr>
            <w:r>
              <w:rPr>
                <w:sz w:val="24"/>
                <w:szCs w:val="16"/>
              </w:rPr>
              <w:t>Sub-topic 1-6 Others</w:t>
            </w:r>
          </w:p>
          <w:p>
            <w:pPr>
              <w:rPr>
                <w:b/>
                <w:u w:val="single"/>
                <w:lang w:eastAsia="ko-KR"/>
              </w:rPr>
            </w:pPr>
            <w:r>
              <w:rPr>
                <w:b/>
                <w:u w:val="single"/>
                <w:lang w:eastAsia="ko-KR"/>
              </w:rPr>
              <w:t xml:space="preserve">Issue 1-6-1: Reference Cell </w:t>
            </w:r>
          </w:p>
          <w:p>
            <w:pPr>
              <w:rPr>
                <w:b/>
                <w:lang w:eastAsia="ko-KR"/>
              </w:rPr>
            </w:pPr>
            <w:r>
              <w:rPr>
                <w:b w:val="0"/>
                <w:bCs/>
                <w:lang w:eastAsia="ko-KR"/>
              </w:rPr>
              <w:t>Agreement:</w:t>
            </w:r>
          </w:p>
          <w:p>
            <w:pPr>
              <w:pStyle w:val="32"/>
              <w:numPr>
                <w:ilvl w:val="0"/>
                <w:numId w:val="10"/>
              </w:numPr>
              <w:overflowPunct/>
              <w:autoSpaceDE/>
              <w:autoSpaceDN/>
              <w:adjustRightInd/>
              <w:spacing w:after="120"/>
              <w:ind w:left="520" w:leftChars="0" w:firstLineChars="0"/>
              <w:textAlignment w:val="auto"/>
              <w:rPr>
                <w:b/>
                <w:u w:val="single"/>
                <w:lang w:eastAsia="ko-KR"/>
              </w:rPr>
            </w:pPr>
            <w:r>
              <w:rPr>
                <w:szCs w:val="24"/>
                <w:lang w:eastAsia="zh-CN"/>
              </w:rPr>
              <w:t>The reference cell is not restricted to PCell. And the reference cell shall has SSB.</w:t>
            </w:r>
          </w:p>
          <w:p>
            <w:pPr>
              <w:rPr>
                <w:b/>
                <w:u w:val="single"/>
                <w:lang w:eastAsia="ko-KR"/>
              </w:rPr>
            </w:pPr>
            <w:r>
              <w:rPr>
                <w:b/>
                <w:u w:val="single"/>
                <w:lang w:eastAsia="ko-KR"/>
              </w:rPr>
              <w:t xml:space="preserve">Issue 1-6-2: Reference Cell indication </w:t>
            </w:r>
          </w:p>
          <w:p>
            <w:pPr>
              <w:rPr>
                <w:rFonts w:eastAsia="MS Mincho"/>
                <w:lang w:eastAsia="ko-KR"/>
              </w:rPr>
            </w:pPr>
            <w:r>
              <w:rPr>
                <w:rFonts w:eastAsia="MS Mincho"/>
                <w:lang w:eastAsia="ko-KR"/>
              </w:rPr>
              <w:t>Agreement:</w:t>
            </w:r>
          </w:p>
          <w:p>
            <w:pPr>
              <w:pStyle w:val="32"/>
              <w:numPr>
                <w:ilvl w:val="0"/>
                <w:numId w:val="6"/>
              </w:numPr>
              <w:ind w:firstLineChars="0"/>
              <w:rPr>
                <w:lang w:eastAsia="ko-KR"/>
              </w:rPr>
            </w:pPr>
            <w:r>
              <w:rPr>
                <w:lang w:eastAsia="ko-KR"/>
              </w:rPr>
              <w:t xml:space="preserve">Introduce indication from NW to UE to indicate which cell (e.g., PCI, SSB frequency, etc.) is the reference cell. </w:t>
            </w:r>
          </w:p>
          <w:p>
            <w:pPr>
              <w:pStyle w:val="32"/>
              <w:numPr>
                <w:ilvl w:val="0"/>
                <w:numId w:val="6"/>
              </w:numPr>
              <w:ind w:firstLineChars="0"/>
              <w:rPr>
                <w:lang w:eastAsia="ko-KR"/>
              </w:rPr>
            </w:pPr>
            <w:r>
              <w:rPr>
                <w:lang w:eastAsia="ko-KR"/>
              </w:rPr>
              <w:t>RAN4 will define “by default cell” as reference cell if the indication is not provided.</w:t>
            </w:r>
          </w:p>
          <w:p>
            <w:pPr>
              <w:pStyle w:val="32"/>
              <w:numPr>
                <w:ilvl w:val="0"/>
                <w:numId w:val="6"/>
              </w:numPr>
              <w:ind w:firstLineChars="0"/>
              <w:rPr>
                <w:lang w:eastAsia="ko-KR"/>
              </w:rPr>
            </w:pPr>
            <w:r>
              <w:rPr>
                <w:lang w:eastAsia="ko-KR"/>
              </w:rPr>
              <w:t>Reference cell means the timing and AGC source of SSB-less Cell.</w:t>
            </w:r>
          </w:p>
          <w:p>
            <w:pPr>
              <w:pStyle w:val="32"/>
              <w:numPr>
                <w:ilvl w:val="1"/>
                <w:numId w:val="6"/>
              </w:numPr>
              <w:ind w:firstLineChars="0"/>
              <w:rPr>
                <w:lang w:eastAsia="ko-KR"/>
              </w:rPr>
            </w:pPr>
            <w:r>
              <w:rPr>
                <w:lang w:eastAsia="ko-KR"/>
              </w:rPr>
              <w:t>FFS whether to consider the reference cell and QCL source cell are different.</w:t>
            </w:r>
          </w:p>
          <w:p>
            <w:pPr>
              <w:pStyle w:val="32"/>
              <w:numPr>
                <w:ilvl w:val="2"/>
                <w:numId w:val="6"/>
              </w:numPr>
              <w:ind w:firstLineChars="0"/>
              <w:rPr>
                <w:lang w:eastAsia="ko-KR"/>
              </w:rPr>
            </w:pPr>
            <w:r>
              <w:rPr>
                <w:lang w:eastAsia="ko-KR"/>
              </w:rPr>
              <w:t>Whether QCL is needed will be discussed in other issue.</w:t>
            </w:r>
          </w:p>
          <w:p>
            <w:pPr>
              <w:pStyle w:val="32"/>
              <w:numPr>
                <w:ilvl w:val="0"/>
                <w:numId w:val="6"/>
              </w:numPr>
              <w:ind w:firstLineChars="0"/>
              <w:rPr>
                <w:lang w:eastAsia="ko-KR"/>
              </w:rPr>
            </w:pPr>
            <w:r>
              <w:rPr>
                <w:lang w:eastAsia="ko-KR"/>
              </w:rPr>
              <w:t>The details of the signalling is up to RAN2.</w:t>
            </w:r>
          </w:p>
          <w:p>
            <w:pPr>
              <w:pStyle w:val="32"/>
              <w:numPr>
                <w:ilvl w:val="0"/>
                <w:numId w:val="6"/>
              </w:numPr>
              <w:ind w:firstLineChars="0"/>
              <w:rPr>
                <w:lang w:eastAsia="ko-KR"/>
              </w:rPr>
            </w:pPr>
            <w:r>
              <w:rPr>
                <w:lang w:eastAsia="ko-KR"/>
              </w:rPr>
              <w:t>If the reference cell is an SCell, it should be activated.</w:t>
            </w:r>
          </w:p>
          <w:p>
            <w:pPr>
              <w:pStyle w:val="32"/>
              <w:numPr>
                <w:ilvl w:val="0"/>
                <w:numId w:val="6"/>
              </w:numPr>
              <w:ind w:firstLineChars="0"/>
              <w:rPr>
                <w:b/>
                <w:u w:val="single"/>
                <w:lang w:eastAsia="ko-KR"/>
              </w:rPr>
            </w:pPr>
            <w:r>
              <w:rPr>
                <w:lang w:eastAsia="ko-KR"/>
              </w:rPr>
              <w:t>RAN4 FFS the conditions for reference cell. (e.g. activated SCell)</w:t>
            </w:r>
          </w:p>
          <w:p>
            <w:pPr>
              <w:rPr>
                <w:b/>
                <w:u w:val="single"/>
                <w:lang w:eastAsia="ko-KR"/>
              </w:rPr>
            </w:pPr>
            <w:r>
              <w:rPr>
                <w:b/>
                <w:u w:val="single"/>
                <w:lang w:eastAsia="ko-KR"/>
              </w:rPr>
              <w:t xml:space="preserve">Issue 1-6-3: SSB-less Cell indication </w:t>
            </w:r>
          </w:p>
          <w:p>
            <w:pPr>
              <w:rPr>
                <w:szCs w:val="24"/>
                <w:lang w:eastAsia="zh-CN"/>
              </w:rPr>
            </w:pPr>
            <w:r>
              <w:rPr>
                <w:szCs w:val="24"/>
                <w:lang w:eastAsia="zh-CN"/>
              </w:rPr>
              <w:t>Agreement:</w:t>
            </w:r>
          </w:p>
          <w:p>
            <w:pPr>
              <w:rPr>
                <w:szCs w:val="24"/>
                <w:lang w:eastAsia="zh-CN"/>
              </w:rPr>
            </w:pPr>
            <w:r>
              <w:rPr>
                <w:szCs w:val="24"/>
                <w:lang w:eastAsia="zh-CN"/>
              </w:rPr>
              <w:t>If the UE is not provided with SSB configuration (absoluteFrequencySSB) in the SCell (FrequencyInfoDL) nor SMTC configuration for the SCell, this cell is regarded as SSB-less SCell.</w:t>
            </w:r>
          </w:p>
          <w:p>
            <w:pPr>
              <w:rPr>
                <w:szCs w:val="24"/>
                <w:lang w:eastAsia="zh-CN"/>
              </w:rPr>
            </w:pPr>
            <w:r>
              <w:rPr>
                <w:szCs w:val="24"/>
                <w:lang w:eastAsia="zh-CN"/>
              </w:rPr>
              <w:t>Note: update the wording in RAN4 requirements for inter-band SSB-less.</w:t>
            </w:r>
          </w:p>
          <w:p>
            <w:pPr>
              <w:rPr>
                <w:b/>
                <w:u w:val="single"/>
                <w:lang w:eastAsia="ko-KR"/>
              </w:rPr>
            </w:pPr>
            <w:r>
              <w:rPr>
                <w:b/>
                <w:u w:val="single"/>
                <w:lang w:eastAsia="ko-KR"/>
              </w:rPr>
              <w:t>Issue 1-6-9: TAG</w:t>
            </w:r>
          </w:p>
          <w:p>
            <w:pPr>
              <w:spacing w:after="120"/>
              <w:rPr>
                <w:szCs w:val="24"/>
                <w:lang w:eastAsia="zh-CN"/>
              </w:rPr>
            </w:pPr>
            <w:r>
              <w:rPr>
                <w:szCs w:val="24"/>
                <w:lang w:eastAsia="zh-CN"/>
              </w:rPr>
              <w:t>Agreement:</w:t>
            </w:r>
          </w:p>
          <w:p>
            <w:pPr>
              <w:pStyle w:val="32"/>
              <w:numPr>
                <w:ilvl w:val="0"/>
                <w:numId w:val="11"/>
              </w:numPr>
              <w:spacing w:after="120"/>
              <w:ind w:firstLineChars="0"/>
              <w:rPr>
                <w:rFonts w:hint="default"/>
                <w:b/>
                <w:u w:val="single"/>
                <w:lang w:val="en-US" w:eastAsia="zh-CN"/>
              </w:rPr>
            </w:pPr>
            <w:r>
              <w:rPr>
                <w:szCs w:val="24"/>
                <w:lang w:eastAsia="zh-CN"/>
              </w:rPr>
              <w:t>No RRM requirements are specified if the SSB-less SCell is not configured in the same TAG as the reference serving cell.</w:t>
            </w:r>
          </w:p>
        </w:tc>
      </w:tr>
    </w:tbl>
    <w:p>
      <w:pPr>
        <w:pStyle w:val="11"/>
        <w:numPr>
          <w:ilvl w:val="0"/>
          <w:numId w:val="0"/>
        </w:numPr>
        <w:tabs>
          <w:tab w:val="left" w:pos="226"/>
          <w:tab w:val="left" w:pos="284"/>
          <w:tab w:val="left" w:pos="5103"/>
        </w:tabs>
        <w:snapToGrid w:val="0"/>
        <w:spacing w:before="156" w:beforeLines="50"/>
        <w:ind w:leftChars="0"/>
        <w:rPr>
          <w:rFonts w:hint="default" w:eastAsia="宋体"/>
          <w:szCs w:val="20"/>
          <w:lang w:val="en-US" w:eastAsia="zh-CN"/>
        </w:rPr>
      </w:pPr>
      <w:r>
        <w:rPr>
          <w:rFonts w:hint="eastAsia" w:eastAsia="宋体"/>
          <w:szCs w:val="20"/>
          <w:lang w:val="en-US" w:eastAsia="zh-CN"/>
        </w:rPr>
        <w:t>In this document, we provide our views on the remaining issues around SSB-less SCell operation.</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hint="eastAsia" w:eastAsia="宋体"/>
          <w:lang w:eastAsia="zh-CN"/>
        </w:rPr>
        <w:t>Discussion</w:t>
      </w:r>
    </w:p>
    <w:p>
      <w:pPr>
        <w:pStyle w:val="3"/>
        <w:bidi w:val="0"/>
        <w:rPr>
          <w:rFonts w:hint="default" w:cs="Times New Roman"/>
          <w:sz w:val="24"/>
          <w:szCs w:val="24"/>
          <w:lang w:val="en-US" w:eastAsia="zh-CN"/>
        </w:rPr>
      </w:pPr>
      <w:r>
        <w:rPr>
          <w:rFonts w:hint="eastAsia" w:cs="Times New Roman"/>
          <w:sz w:val="24"/>
          <w:szCs w:val="24"/>
          <w:lang w:val="en-US" w:eastAsia="zh-CN"/>
        </w:rPr>
        <w:t>2.1 The side conditions of SSB-less</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We believe the side conditions include the following aspects:</w:t>
      </w:r>
    </w:p>
    <w:p>
      <w:pPr>
        <w:pStyle w:val="32"/>
        <w:keepNext w:val="0"/>
        <w:keepLines w:val="0"/>
        <w:pageBreakBefore w:val="0"/>
        <w:widowControl w:val="0"/>
        <w:numPr>
          <w:ilvl w:val="0"/>
          <w:numId w:val="12"/>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Received time difference (RTD) between the SSB-less SCell and the FR1 inter-band active serving cell</w:t>
      </w:r>
    </w:p>
    <w:p>
      <w:pPr>
        <w:pStyle w:val="32"/>
        <w:keepNext w:val="0"/>
        <w:keepLines w:val="0"/>
        <w:pageBreakBefore w:val="0"/>
        <w:widowControl w:val="0"/>
        <w:numPr>
          <w:ilvl w:val="0"/>
          <w:numId w:val="12"/>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The difference of the reception power with the FR1 inter-band active serving cell</w:t>
      </w:r>
    </w:p>
    <w:p>
      <w:pPr>
        <w:pStyle w:val="32"/>
        <w:keepNext w:val="0"/>
        <w:keepLines w:val="0"/>
        <w:pageBreakBefore w:val="0"/>
        <w:widowControl w:val="0"/>
        <w:numPr>
          <w:ilvl w:val="0"/>
          <w:numId w:val="12"/>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cs="Times New Roman"/>
          <w:kern w:val="0"/>
          <w:sz w:val="20"/>
          <w:szCs w:val="20"/>
          <w:lang w:val="en-US" w:eastAsia="zh-CN" w:bidi="ar-SA"/>
        </w:rPr>
        <w:t>QCL/TCI state indication</w:t>
      </w:r>
    </w:p>
    <w:p>
      <w:pPr>
        <w:pStyle w:val="32"/>
        <w:keepNext w:val="0"/>
        <w:keepLines w:val="0"/>
        <w:pageBreakBefore w:val="0"/>
        <w:widowControl w:val="0"/>
        <w:numPr>
          <w:ilvl w:val="0"/>
          <w:numId w:val="12"/>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cs="Times New Roman"/>
          <w:kern w:val="0"/>
          <w:sz w:val="20"/>
          <w:szCs w:val="20"/>
          <w:lang w:val="en-US" w:eastAsia="zh-CN" w:bidi="ar-SA"/>
        </w:rPr>
        <w:t>TRS clarification</w:t>
      </w:r>
    </w:p>
    <w:p>
      <w:pPr>
        <w:pStyle w:val="32"/>
        <w:keepNext w:val="0"/>
        <w:keepLines w:val="0"/>
        <w:pageBreakBefore w:val="0"/>
        <w:widowControl w:val="0"/>
        <w:numPr>
          <w:ilvl w:val="0"/>
          <w:numId w:val="0"/>
        </w:numPr>
        <w:kinsoku/>
        <w:wordWrap/>
        <w:overflowPunct w:val="0"/>
        <w:topLinePunct w:val="0"/>
        <w:autoSpaceDE w:val="0"/>
        <w:autoSpaceDN w:val="0"/>
        <w:bidi w:val="0"/>
        <w:adjustRightInd w:val="0"/>
        <w:snapToGrid/>
        <w:spacing w:line="252" w:lineRule="auto"/>
        <w:ind w:leftChars="0"/>
        <w:rPr>
          <w:rFonts w:hint="eastAsia" w:ascii="Times New Roman" w:hAnsi="Times New Roman" w:cs="Times New Roman"/>
          <w:kern w:val="0"/>
          <w:sz w:val="20"/>
          <w:szCs w:val="20"/>
          <w:lang w:val="en-US" w:eastAsia="zh-CN" w:bidi="ar-SA"/>
        </w:rPr>
      </w:pPr>
      <w:r>
        <w:rPr>
          <w:rFonts w:hint="eastAsia" w:ascii="Times New Roman" w:hAnsi="Times New Roman" w:cs="Times New Roman"/>
          <w:kern w:val="0"/>
          <w:sz w:val="20"/>
          <w:szCs w:val="20"/>
          <w:lang w:val="en-US" w:eastAsia="zh-CN" w:bidi="ar-SA"/>
        </w:rPr>
        <w:t>We would discuss them one by one in this document.</w:t>
      </w:r>
    </w:p>
    <w:p>
      <w:pPr>
        <w:pStyle w:val="32"/>
        <w:keepNext w:val="0"/>
        <w:keepLines w:val="0"/>
        <w:pageBreakBefore w:val="0"/>
        <w:widowControl w:val="0"/>
        <w:numPr>
          <w:ilvl w:val="0"/>
          <w:numId w:val="0"/>
        </w:numPr>
        <w:kinsoku/>
        <w:wordWrap/>
        <w:overflowPunct w:val="0"/>
        <w:topLinePunct w:val="0"/>
        <w:autoSpaceDE w:val="0"/>
        <w:autoSpaceDN w:val="0"/>
        <w:bidi w:val="0"/>
        <w:adjustRightInd w:val="0"/>
        <w:snapToGrid/>
        <w:spacing w:line="252" w:lineRule="auto"/>
        <w:ind w:leftChars="0"/>
        <w:rPr>
          <w:rFonts w:hint="default" w:ascii="Times New Roman" w:hAnsi="Times New Roman" w:cs="Times New Roman"/>
          <w:kern w:val="0"/>
          <w:sz w:val="20"/>
          <w:szCs w:val="20"/>
          <w:u w:val="single"/>
          <w:lang w:val="en-US" w:eastAsia="zh-CN" w:bidi="ar-SA"/>
        </w:rPr>
      </w:pPr>
      <w:r>
        <w:rPr>
          <w:rFonts w:hint="eastAsia" w:ascii="Times New Roman" w:hAnsi="Times New Roman" w:cs="Times New Roman"/>
          <w:kern w:val="0"/>
          <w:sz w:val="20"/>
          <w:szCs w:val="20"/>
          <w:u w:val="single"/>
          <w:lang w:val="en-US" w:eastAsia="zh-CN" w:bidi="ar-SA"/>
        </w:rPr>
        <w:t>The side condition of RTD</w:t>
      </w:r>
    </w:p>
    <w:p>
      <w:pPr>
        <w:pStyle w:val="11"/>
        <w:tabs>
          <w:tab w:val="left" w:pos="226"/>
          <w:tab w:val="left" w:pos="284"/>
          <w:tab w:val="left" w:pos="5103"/>
        </w:tabs>
        <w:snapToGrid w:val="0"/>
        <w:spacing w:before="156" w:beforeLines="50"/>
        <w:rPr>
          <w:rFonts w:hint="eastAsia"/>
          <w:szCs w:val="24"/>
          <w:lang w:val="en-US" w:eastAsia="zh-CN"/>
        </w:rPr>
      </w:pPr>
      <w:r>
        <w:rPr>
          <w:rFonts w:hint="eastAsia" w:eastAsia="宋体"/>
          <w:szCs w:val="20"/>
          <w:lang w:val="en-US" w:eastAsia="zh-CN"/>
        </w:rPr>
        <w:t>Regarding the side condition of RTD, it was approved that one set of condition, i.e. RTD</w:t>
      </w:r>
      <w:r>
        <w:rPr>
          <w:rFonts w:hint="eastAsia"/>
          <w:szCs w:val="24"/>
          <w:lang w:eastAsia="zh-CN"/>
        </w:rPr>
        <w:t>≤</w:t>
      </w:r>
      <w:r>
        <w:rPr>
          <w:rFonts w:hint="eastAsia"/>
          <w:szCs w:val="24"/>
          <w:lang w:val="en-US" w:eastAsia="zh-CN"/>
        </w:rPr>
        <w:t xml:space="preserve"> CP and one requirement would be defined. We believe one of the main concern on defining two set of conditions lies in how to achieve same understanding between NW and UE. Actually multiple factors would impact the RTD received at UE side. In our view, it is not hard to achieve alignment between NW and UE, just introduce some NW signalling can address this issue. However currently based on the agreements achieved in last meeting, we still believe so as to apply SSB-less SCell operation, the actual RTD should be less than CP to accommodate the SSB based timing estimation error, TRS based timing estimation error, and EVM windows, these margin can not be ignored in practice. We provide analysis in details in [2].</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r>
        <w:rPr>
          <w:rFonts w:hint="eastAsia" w:eastAsia="宋体"/>
          <w:b/>
          <w:bCs/>
          <w:szCs w:val="20"/>
          <w:highlight w:val="none"/>
          <w:lang w:val="en-US" w:eastAsia="zh-CN"/>
        </w:rPr>
        <w:t>Proposal 1: So as to apply SSB-less SCell operation, the actual RTD should be less than CP to accommodate the SSB based timing estimation error, TRS based timing estimation error, and EVM windows, these margin can not be ignored in practice.</w:t>
      </w:r>
    </w:p>
    <w:p>
      <w:pPr>
        <w:pStyle w:val="32"/>
        <w:keepNext w:val="0"/>
        <w:keepLines w:val="0"/>
        <w:pageBreakBefore w:val="0"/>
        <w:widowControl w:val="0"/>
        <w:numPr>
          <w:ilvl w:val="0"/>
          <w:numId w:val="0"/>
        </w:numPr>
        <w:kinsoku/>
        <w:wordWrap/>
        <w:overflowPunct w:val="0"/>
        <w:topLinePunct w:val="0"/>
        <w:autoSpaceDE w:val="0"/>
        <w:autoSpaceDN w:val="0"/>
        <w:bidi w:val="0"/>
        <w:adjustRightInd w:val="0"/>
        <w:snapToGrid/>
        <w:spacing w:line="252" w:lineRule="auto"/>
        <w:ind w:leftChars="0"/>
        <w:rPr>
          <w:rFonts w:hint="default"/>
          <w:lang w:val="en-US" w:eastAsia="zh-CN"/>
        </w:rPr>
      </w:pPr>
      <w:r>
        <w:rPr>
          <w:rFonts w:hint="eastAsia" w:ascii="Times New Roman" w:hAnsi="Times New Roman" w:cs="Times New Roman"/>
          <w:kern w:val="0"/>
          <w:sz w:val="20"/>
          <w:szCs w:val="20"/>
          <w:u w:val="single"/>
          <w:lang w:val="en-US" w:eastAsia="zh-CN" w:bidi="ar-SA"/>
        </w:rPr>
        <w:t>The side condition of Power imbalance</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Regarding the difference of the reception power, it was approved to define one set of condition and one requirement, and the side condition is defined as the maximum received power difference can be up to [X] dB. Regarding the exact magnitude of X, we believe it should be not less than 25dB. It has been approved that the requirement of power imbalance for non co-located non-contiguous intra-band CA is relaxed to 25dB. While for inter-band case, to our understanding, besides the transmission power offset due to different PRB allocation for the two carriers, the pathloss offset since of frequency separation should also be considered. Take the following two band combinations as example:</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BC1: 700MHz + 4.9GHz</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  BC2: 800MHz + 3.5GHz</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Provided the same PSD level for the reference cell and SSB-less SCell, than the power imbalance due to different PRB allocation is not larger than</w:t>
      </w:r>
      <w:r>
        <w:rPr>
          <w:rFonts w:hint="eastAsia" w:eastAsia="宋体"/>
          <w:szCs w:val="20"/>
          <w:highlight w:val="none"/>
          <w:lang w:val="en-US" w:eastAsia="zh-CN"/>
        </w:rPr>
        <w:t xml:space="preserve"> 24 dB. The pathloss offset for BC1 is about 17 dB, and about 13 dB for BC2. So the maximum power imbalance can be up to 41 dB for BC1 and 37 dB for BC2, these can be seemed as the extreme case, considering the normal case, i.e. the the difference PRB allocation is about 14 dB, then the total budget of power imbalance is about 30 dB.</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2: The side condition on receiving power difference between the SSB-less SCell and the reference cell can be up to about 30 dB for the BC of 700MHz + 4.9GHz and 800MHz +3.5GHz.</w:t>
      </w:r>
    </w:p>
    <w:p>
      <w:pPr>
        <w:pStyle w:val="32"/>
        <w:keepNext w:val="0"/>
        <w:keepLines w:val="0"/>
        <w:pageBreakBefore w:val="0"/>
        <w:widowControl w:val="0"/>
        <w:numPr>
          <w:ilvl w:val="0"/>
          <w:numId w:val="0"/>
        </w:numPr>
        <w:kinsoku/>
        <w:wordWrap/>
        <w:overflowPunct w:val="0"/>
        <w:topLinePunct w:val="0"/>
        <w:autoSpaceDE w:val="0"/>
        <w:autoSpaceDN w:val="0"/>
        <w:bidi w:val="0"/>
        <w:adjustRightInd w:val="0"/>
        <w:snapToGrid/>
        <w:spacing w:line="252" w:lineRule="auto"/>
        <w:ind w:leftChars="0"/>
        <w:rPr>
          <w:rFonts w:hint="default" w:eastAsia="宋体"/>
          <w:b/>
          <w:bCs/>
          <w:szCs w:val="20"/>
          <w:highlight w:val="none"/>
          <w:lang w:val="en-US" w:eastAsia="zh-CN"/>
        </w:rPr>
      </w:pPr>
      <w:r>
        <w:rPr>
          <w:rFonts w:hint="eastAsia" w:ascii="Times New Roman" w:hAnsi="Times New Roman" w:cs="Times New Roman"/>
          <w:kern w:val="0"/>
          <w:sz w:val="20"/>
          <w:szCs w:val="20"/>
          <w:u w:val="single"/>
          <w:lang w:val="en-US" w:eastAsia="zh-CN" w:bidi="ar-SA"/>
        </w:rPr>
        <w:t>The side condition of QCL/TCI state indication</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With respect to the QCL-TCI state indication, during the LS discussion in last meeting, companies have some initial discussion regarding the QCL/TCI state indication. The main consideration is how to indicate to UE the coarse timing to reuse if there are multiple SSB transmission in the reference cell. After some offline discussion with companies, we believe there are multiple solution to address the indication of coarse timing between multiple SSBs in the reference cell. </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  Solution 1: via RRC signalling indication, i.e. indicate </w:t>
      </w:r>
      <w:r>
        <w:rPr>
          <w:rFonts w:hint="default" w:eastAsia="宋体"/>
          <w:szCs w:val="20"/>
          <w:lang w:val="en-US" w:eastAsia="zh-CN"/>
        </w:rPr>
        <w:t>’</w:t>
      </w:r>
      <w:r>
        <w:rPr>
          <w:rFonts w:hint="eastAsia" w:eastAsia="宋体"/>
          <w:szCs w:val="20"/>
          <w:lang w:val="en-US" w:eastAsia="zh-CN"/>
        </w:rPr>
        <w:t>SSB index</w:t>
      </w:r>
      <w:r>
        <w:rPr>
          <w:rFonts w:hint="default" w:eastAsia="宋体"/>
          <w:szCs w:val="20"/>
          <w:lang w:val="en-US" w:eastAsia="zh-CN"/>
        </w:rPr>
        <w:t>’</w:t>
      </w:r>
      <w:r>
        <w:rPr>
          <w:rFonts w:hint="eastAsia" w:eastAsia="宋体"/>
          <w:szCs w:val="20"/>
          <w:lang w:val="en-US" w:eastAsia="zh-CN"/>
        </w:rPr>
        <w:t xml:space="preserve"> in addition to the reference cell PCI</w:t>
      </w:r>
    </w:p>
    <w:p>
      <w:pPr>
        <w:pStyle w:val="11"/>
        <w:tabs>
          <w:tab w:val="left" w:pos="226"/>
          <w:tab w:val="left" w:pos="284"/>
          <w:tab w:val="left" w:pos="5103"/>
        </w:tabs>
        <w:snapToGrid w:val="0"/>
        <w:spacing w:before="156" w:beforeLines="50"/>
        <w:ind w:left="1400" w:leftChars="0" w:hanging="1400" w:hangingChars="700"/>
        <w:rPr>
          <w:rFonts w:hint="eastAsia" w:eastAsia="宋体"/>
          <w:szCs w:val="20"/>
          <w:lang w:val="en-US" w:eastAsia="zh-CN"/>
        </w:rPr>
      </w:pPr>
      <w:r>
        <w:rPr>
          <w:rFonts w:hint="eastAsia" w:eastAsia="宋体"/>
          <w:szCs w:val="20"/>
          <w:lang w:val="en-US" w:eastAsia="zh-CN"/>
        </w:rPr>
        <w:t xml:space="preserve">-  Solution 2: via QCL-C, i.e. same as legacy intra-band CA, the QCL-C relationship should be met between the TRS of SSB-less SCell and the SSB of the reference cell. </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Solution 3: UE trains through all SSB indexes to derive the proper reference SSB index</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Solution 4: via TCI state indication</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Within all these solutions, whether to indicate TCI state or configure QCL relationship cross cells, depend on which solution we choose.</w:t>
      </w:r>
    </w:p>
    <w:p>
      <w:pPr>
        <w:pStyle w:val="11"/>
        <w:rPr>
          <w:rFonts w:hint="default" w:eastAsia="宋体"/>
          <w:b/>
          <w:bCs/>
          <w:szCs w:val="20"/>
          <w:highlight w:val="none"/>
          <w:lang w:val="en-US" w:eastAsia="zh-CN"/>
        </w:rPr>
      </w:pPr>
      <w:r>
        <w:rPr>
          <w:rFonts w:hint="eastAsia" w:eastAsia="宋体"/>
          <w:b/>
          <w:bCs/>
          <w:szCs w:val="20"/>
          <w:highlight w:val="none"/>
          <w:lang w:val="en-US" w:eastAsia="zh-CN"/>
        </w:rPr>
        <w:t>Observation 1: There are multiple solutions to identify the reference timing given that multiple SSBs transmitted in the reference cell.</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Based on the progress in side condition of RTD and power imbalance, TRS is needed anyway. So it seems that Solution 2 is the most straightforward method on top of TRS configuration. While Solution 3 looks like more flexible. So we prefer to consider Solution 2 and 3. TCI state indication in Solution 4 is a bit redundancy considering TRS existing.</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3: To identify the coarse timing used for the SSB-less SCell, two solutions are preferred:</w:t>
      </w:r>
    </w:p>
    <w:p>
      <w:pPr>
        <w:pStyle w:val="11"/>
        <w:rPr>
          <w:rFonts w:hint="default" w:eastAsia="宋体"/>
          <w:b/>
          <w:bCs/>
          <w:szCs w:val="20"/>
          <w:highlight w:val="none"/>
          <w:lang w:val="en-US" w:eastAsia="zh-CN"/>
        </w:rPr>
      </w:pPr>
      <w:r>
        <w:rPr>
          <w:rFonts w:hint="eastAsia" w:eastAsia="宋体"/>
          <w:b/>
          <w:bCs/>
          <w:szCs w:val="20"/>
          <w:highlight w:val="none"/>
          <w:lang w:val="en-US" w:eastAsia="zh-CN"/>
        </w:rPr>
        <w:t xml:space="preserve">-  </w:t>
      </w:r>
      <w:r>
        <w:rPr>
          <w:rFonts w:hint="default" w:eastAsia="宋体"/>
          <w:b/>
          <w:bCs/>
          <w:szCs w:val="20"/>
          <w:highlight w:val="none"/>
          <w:lang w:val="en-US" w:eastAsia="zh-CN"/>
        </w:rPr>
        <w:t xml:space="preserve">via QCL-C, i.e. same as legacy intra-band CA, the QCL-C relationship should be met between the TRS of SSB-less SCell and the SSB of the reference cell. </w:t>
      </w:r>
    </w:p>
    <w:p>
      <w:pPr>
        <w:pStyle w:val="11"/>
        <w:rPr>
          <w:rFonts w:hint="default" w:eastAsia="宋体"/>
          <w:szCs w:val="20"/>
          <w:lang w:val="en-US" w:eastAsia="zh-CN"/>
        </w:rPr>
      </w:pPr>
      <w:r>
        <w:rPr>
          <w:rFonts w:hint="eastAsia" w:eastAsia="宋体"/>
          <w:b/>
          <w:bCs/>
          <w:szCs w:val="20"/>
          <w:highlight w:val="none"/>
          <w:lang w:val="en-US" w:eastAsia="zh-CN"/>
        </w:rPr>
        <w:t xml:space="preserve">-  </w:t>
      </w:r>
      <w:r>
        <w:rPr>
          <w:rFonts w:hint="default" w:eastAsia="宋体"/>
          <w:b/>
          <w:bCs/>
          <w:szCs w:val="20"/>
          <w:highlight w:val="none"/>
          <w:lang w:val="en-US" w:eastAsia="zh-CN"/>
        </w:rPr>
        <w:t>UE trains through all SSB indexes to derive the proper reference SSB index</w:t>
      </w:r>
    </w:p>
    <w:p>
      <w:pPr>
        <w:pStyle w:val="11"/>
        <w:rPr>
          <w:rFonts w:hint="default" w:eastAsia="宋体"/>
          <w:b/>
          <w:bCs/>
          <w:szCs w:val="20"/>
          <w:highlight w:val="none"/>
          <w:lang w:val="en-US" w:eastAsia="zh-CN"/>
        </w:rPr>
      </w:pPr>
      <w:r>
        <w:rPr>
          <w:rFonts w:hint="eastAsia" w:eastAsia="宋体"/>
          <w:b/>
          <w:bCs/>
          <w:szCs w:val="20"/>
          <w:highlight w:val="none"/>
          <w:lang w:val="en-US" w:eastAsia="zh-CN"/>
        </w:rPr>
        <w:t>Proposal 4: TCI state indication is not necessary during SSB-less SCell activation.</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Referring to the QCL relation within the SSB-less SCell, in legacy intra-band CA, it is required to guarantee the RS of SSB-less SCell is QCL-A with TRS of the SSB-less SCell, which can be reused here so as to ensure the unified timing between any RS within the SSB-less SCell. Furthermore, for the SSB-less SCell of inter-band CA deployment, the fine sync between all the RSs should be ensured by default even without QCL-A configuration.</w:t>
      </w:r>
    </w:p>
    <w:p>
      <w:pPr>
        <w:pStyle w:val="11"/>
        <w:rPr>
          <w:rFonts w:hint="eastAsia" w:eastAsia="宋体"/>
          <w:b/>
          <w:bCs/>
          <w:szCs w:val="20"/>
          <w:highlight w:val="none"/>
          <w:lang w:val="en-US" w:eastAsia="zh-CN"/>
        </w:rPr>
      </w:pPr>
      <w:r>
        <w:rPr>
          <w:rFonts w:hint="eastAsia" w:eastAsia="宋体"/>
          <w:b/>
          <w:bCs/>
          <w:szCs w:val="20"/>
          <w:highlight w:val="none"/>
          <w:lang w:val="en-US" w:eastAsia="zh-CN"/>
        </w:rPr>
        <w:t xml:space="preserve">Proposal 5: The fine sync between all the RSs within the SSB-less SCell should be guaranteed by default. </w:t>
      </w:r>
    </w:p>
    <w:p>
      <w:pPr>
        <w:pStyle w:val="32"/>
        <w:keepNext w:val="0"/>
        <w:keepLines w:val="0"/>
        <w:pageBreakBefore w:val="0"/>
        <w:widowControl w:val="0"/>
        <w:numPr>
          <w:ilvl w:val="0"/>
          <w:numId w:val="0"/>
        </w:numPr>
        <w:kinsoku/>
        <w:wordWrap/>
        <w:overflowPunct w:val="0"/>
        <w:topLinePunct w:val="0"/>
        <w:autoSpaceDE w:val="0"/>
        <w:autoSpaceDN w:val="0"/>
        <w:bidi w:val="0"/>
        <w:adjustRightInd w:val="0"/>
        <w:snapToGrid/>
        <w:spacing w:line="252" w:lineRule="auto"/>
        <w:ind w:leftChars="0"/>
        <w:rPr>
          <w:rFonts w:hint="default" w:eastAsia="宋体"/>
          <w:szCs w:val="20"/>
          <w:lang w:val="en-US" w:eastAsia="zh-CN"/>
        </w:rPr>
      </w:pPr>
      <w:r>
        <w:rPr>
          <w:rFonts w:hint="eastAsia" w:ascii="Times New Roman" w:hAnsi="Times New Roman" w:cs="Times New Roman"/>
          <w:kern w:val="0"/>
          <w:sz w:val="20"/>
          <w:szCs w:val="20"/>
          <w:u w:val="single"/>
          <w:lang w:val="en-US" w:eastAsia="zh-CN" w:bidi="ar-SA"/>
        </w:rPr>
        <w:t>TRS clarification</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Due to TRS is involved in, it is necessary to clarify the type of TRS. According to RAN1 specification[2], A-TRS must tie with P-TRS since the QCL-A of A-TRS should be associated with P-TRS in the same cell. So once A-TRS is configured in the SSB-less SCell, in fact the P-TRS should also be configured in the same cell. So the case of only configuring A-TRS without P-TRS in the SSB-less SCell is impossible in spite of such case is beneficial to NW energy saving. So as to realize the intention of NW energy saving, another alternative is to decide whether configuring P-TRS based on the RTD condition. For the case of RTD &lt;=260 ns, not to configure P-TRS since the fine time tracking can be ignored. While for other case, P-TRS is configured by the NW.</w:t>
      </w:r>
    </w:p>
    <w:p>
      <w:pPr>
        <w:pStyle w:val="11"/>
        <w:rPr>
          <w:rFonts w:hint="eastAsia" w:eastAsia="宋体"/>
          <w:b/>
          <w:bCs/>
          <w:szCs w:val="20"/>
          <w:highlight w:val="none"/>
          <w:lang w:val="en-US" w:eastAsia="zh-CN"/>
        </w:rPr>
      </w:pPr>
      <w:r>
        <w:rPr>
          <w:rFonts w:hint="eastAsia" w:eastAsia="宋体"/>
          <w:b/>
          <w:bCs/>
          <w:szCs w:val="20"/>
          <w:highlight w:val="none"/>
          <w:lang w:val="en-US" w:eastAsia="zh-CN"/>
        </w:rPr>
        <w:t>Observation 2: According to RAN1 specification, A-TRS must tie with P-TRS since the QCL-A of A-TRS should be associated with P-TRS in the same cell.</w:t>
      </w:r>
    </w:p>
    <w:p>
      <w:pPr>
        <w:pStyle w:val="3"/>
        <w:bidi w:val="0"/>
        <w:rPr>
          <w:rFonts w:hint="eastAsia" w:cs="Times New Roman"/>
          <w:sz w:val="24"/>
          <w:szCs w:val="24"/>
          <w:lang w:val="en-US" w:eastAsia="zh-CN"/>
        </w:rPr>
      </w:pPr>
      <w:r>
        <w:rPr>
          <w:rFonts w:hint="eastAsia" w:cs="Times New Roman"/>
          <w:sz w:val="24"/>
          <w:szCs w:val="24"/>
          <w:lang w:val="en-US" w:eastAsia="zh-CN"/>
        </w:rPr>
        <w:t>2.2 RRM requirements</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As we know, the key point of determining the latency of SSB-less SCell activation is whether need to perform TRS based fine time tracking or not. Based on current progress, only one set of side condition is defined for RTD and power imbalance, so the latency of TRS based fine time tracking can not be ignored. So the total delay of SSB-less SCell is T</w:t>
      </w:r>
      <w:r>
        <w:rPr>
          <w:rFonts w:hint="eastAsia" w:eastAsia="宋体"/>
          <w:sz w:val="10"/>
          <w:szCs w:val="10"/>
          <w:lang w:val="en-US" w:eastAsia="zh-CN"/>
        </w:rPr>
        <w:t>TRS</w:t>
      </w:r>
      <w:r>
        <w:rPr>
          <w:rFonts w:hint="eastAsia" w:eastAsia="宋体"/>
          <w:szCs w:val="20"/>
          <w:lang w:val="en-US" w:eastAsia="zh-CN"/>
        </w:rPr>
        <w:t>+3ms. The component of T</w:t>
      </w:r>
      <w:r>
        <w:rPr>
          <w:rFonts w:hint="eastAsia" w:eastAsia="宋体"/>
          <w:sz w:val="10"/>
          <w:szCs w:val="10"/>
          <w:lang w:val="en-US" w:eastAsia="zh-CN"/>
        </w:rPr>
        <w:t xml:space="preserve">TRS </w:t>
      </w:r>
      <w:r>
        <w:rPr>
          <w:rFonts w:hint="eastAsia" w:eastAsia="宋体"/>
          <w:szCs w:val="20"/>
          <w:lang w:val="en-US" w:eastAsia="zh-CN"/>
        </w:rPr>
        <w:t xml:space="preserve">is used for fine time tracking and possible AGC refining.  </w:t>
      </w:r>
    </w:p>
    <w:p>
      <w:pPr>
        <w:pStyle w:val="11"/>
        <w:rPr>
          <w:rFonts w:hint="default" w:eastAsia="宋体"/>
          <w:b/>
          <w:bCs/>
          <w:szCs w:val="20"/>
          <w:highlight w:val="none"/>
          <w:lang w:val="en-US" w:eastAsia="zh-CN"/>
        </w:rPr>
      </w:pPr>
      <w:r>
        <w:rPr>
          <w:rFonts w:hint="eastAsia" w:eastAsia="宋体"/>
          <w:b/>
          <w:bCs/>
          <w:szCs w:val="20"/>
          <w:highlight w:val="none"/>
          <w:lang w:val="en-US" w:eastAsia="zh-CN"/>
        </w:rPr>
        <w:t>Proposal 6: the total delay of SSB-less SCell is T</w:t>
      </w:r>
      <w:r>
        <w:rPr>
          <w:rFonts w:hint="eastAsia" w:eastAsia="宋体"/>
          <w:b/>
          <w:bCs/>
          <w:sz w:val="10"/>
          <w:szCs w:val="10"/>
          <w:highlight w:val="none"/>
          <w:lang w:val="en-US" w:eastAsia="zh-CN"/>
        </w:rPr>
        <w:t>TRS</w:t>
      </w:r>
      <w:r>
        <w:rPr>
          <w:rFonts w:hint="eastAsia" w:eastAsia="宋体"/>
          <w:b/>
          <w:bCs/>
          <w:szCs w:val="20"/>
          <w:highlight w:val="none"/>
          <w:lang w:val="en-US" w:eastAsia="zh-CN"/>
        </w:rPr>
        <w:t>+3ms. The component of T</w:t>
      </w:r>
      <w:r>
        <w:rPr>
          <w:rFonts w:hint="eastAsia" w:eastAsia="宋体"/>
          <w:b/>
          <w:bCs/>
          <w:sz w:val="10"/>
          <w:szCs w:val="10"/>
          <w:highlight w:val="none"/>
          <w:lang w:val="en-US" w:eastAsia="zh-CN"/>
        </w:rPr>
        <w:t>TRS</w:t>
      </w:r>
      <w:r>
        <w:rPr>
          <w:rFonts w:hint="eastAsia" w:eastAsia="宋体"/>
          <w:b/>
          <w:bCs/>
          <w:szCs w:val="20"/>
          <w:highlight w:val="none"/>
          <w:lang w:val="en-US" w:eastAsia="zh-CN"/>
        </w:rPr>
        <w:t xml:space="preserve"> is used for fine time tracking and possible AGC refining.</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pStyle w:val="11"/>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we have the following 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Network power saving</w:t>
      </w:r>
      <w:r>
        <w:rPr>
          <w:rFonts w:eastAsia="宋体"/>
          <w:bCs/>
          <w:szCs w:val="20"/>
          <w:lang w:val="en-GB" w:eastAsia="zh-CN"/>
        </w:rPr>
        <w:t>:</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r>
        <w:rPr>
          <w:rFonts w:hint="eastAsia" w:eastAsia="宋体"/>
          <w:b/>
          <w:bCs/>
          <w:szCs w:val="20"/>
          <w:highlight w:val="none"/>
          <w:lang w:val="en-US" w:eastAsia="zh-CN"/>
        </w:rPr>
        <w:t>Proposal 1: So as to apply SSB-less SCell operation, the actual RTD should be less than CP to accommodate the SSB based timing estimation error, TRS based timing estimation error, and EVM windows, these margin can not be ignored in practice.</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2: The side condition on receiving power difference between the SSB-less SCell and the reference cell can be up to about 3</w:t>
      </w:r>
      <w:bookmarkStart w:id="0" w:name="_GoBack"/>
      <w:bookmarkEnd w:id="0"/>
      <w:r>
        <w:rPr>
          <w:rFonts w:hint="eastAsia" w:eastAsia="宋体"/>
          <w:b/>
          <w:bCs/>
          <w:szCs w:val="20"/>
          <w:highlight w:val="none"/>
          <w:lang w:val="en-US" w:eastAsia="zh-CN"/>
        </w:rPr>
        <w:t>0 dB for the BC of 700MHz + 4.9GHz and 800MHz +3.5GHz.</w:t>
      </w:r>
    </w:p>
    <w:p>
      <w:pPr>
        <w:pStyle w:val="11"/>
        <w:rPr>
          <w:rFonts w:hint="default" w:eastAsia="宋体"/>
          <w:b/>
          <w:bCs/>
          <w:szCs w:val="20"/>
          <w:highlight w:val="none"/>
          <w:lang w:val="en-US" w:eastAsia="zh-CN"/>
        </w:rPr>
      </w:pPr>
      <w:r>
        <w:rPr>
          <w:rFonts w:hint="eastAsia" w:eastAsia="宋体"/>
          <w:b/>
          <w:bCs/>
          <w:szCs w:val="20"/>
          <w:highlight w:val="none"/>
          <w:lang w:val="en-US" w:eastAsia="zh-CN"/>
        </w:rPr>
        <w:t>Observation 1: There are multiple solutions to identify the reference timing given that multiple SSBs transmitted in the reference cell.</w:t>
      </w:r>
    </w:p>
    <w:p>
      <w:pPr>
        <w:pStyle w:val="11"/>
        <w:rPr>
          <w:rFonts w:hint="eastAsia" w:eastAsia="宋体"/>
          <w:b/>
          <w:bCs/>
          <w:szCs w:val="20"/>
          <w:highlight w:val="none"/>
          <w:lang w:val="en-US" w:eastAsia="zh-CN"/>
        </w:rPr>
      </w:pPr>
      <w:r>
        <w:rPr>
          <w:rFonts w:hint="eastAsia" w:eastAsia="宋体"/>
          <w:b/>
          <w:bCs/>
          <w:szCs w:val="20"/>
          <w:highlight w:val="none"/>
          <w:lang w:val="en-US" w:eastAsia="zh-CN"/>
        </w:rPr>
        <w:t>Proposal 3: To identify the coarse timing used for the SSB-less SCell, two solutions are preferred:</w:t>
      </w:r>
    </w:p>
    <w:p>
      <w:pPr>
        <w:pStyle w:val="11"/>
        <w:rPr>
          <w:rFonts w:hint="default" w:eastAsia="宋体"/>
          <w:b/>
          <w:bCs/>
          <w:szCs w:val="20"/>
          <w:highlight w:val="none"/>
          <w:lang w:val="en-US" w:eastAsia="zh-CN"/>
        </w:rPr>
      </w:pPr>
      <w:r>
        <w:rPr>
          <w:rFonts w:hint="eastAsia" w:eastAsia="宋体"/>
          <w:b/>
          <w:bCs/>
          <w:szCs w:val="20"/>
          <w:highlight w:val="none"/>
          <w:lang w:val="en-US" w:eastAsia="zh-CN"/>
        </w:rPr>
        <w:t xml:space="preserve">-  </w:t>
      </w:r>
      <w:r>
        <w:rPr>
          <w:rFonts w:hint="default" w:eastAsia="宋体"/>
          <w:b/>
          <w:bCs/>
          <w:szCs w:val="20"/>
          <w:highlight w:val="none"/>
          <w:lang w:val="en-US" w:eastAsia="zh-CN"/>
        </w:rPr>
        <w:t xml:space="preserve">via QCL-C, i.e. same as legacy intra-band CA, the QCL-C relationship should be met between the TRS of SSB-less SCell and the SSB of the reference cell. </w:t>
      </w:r>
    </w:p>
    <w:p>
      <w:pPr>
        <w:pStyle w:val="11"/>
        <w:rPr>
          <w:rFonts w:hint="default" w:eastAsia="宋体"/>
          <w:szCs w:val="20"/>
          <w:lang w:val="en-US" w:eastAsia="zh-CN"/>
        </w:rPr>
      </w:pPr>
      <w:r>
        <w:rPr>
          <w:rFonts w:hint="eastAsia" w:eastAsia="宋体"/>
          <w:b/>
          <w:bCs/>
          <w:szCs w:val="20"/>
          <w:highlight w:val="none"/>
          <w:lang w:val="en-US" w:eastAsia="zh-CN"/>
        </w:rPr>
        <w:t xml:space="preserve">-  </w:t>
      </w:r>
      <w:r>
        <w:rPr>
          <w:rFonts w:hint="default" w:eastAsia="宋体"/>
          <w:b/>
          <w:bCs/>
          <w:szCs w:val="20"/>
          <w:highlight w:val="none"/>
          <w:lang w:val="en-US" w:eastAsia="zh-CN"/>
        </w:rPr>
        <w:t>UE trains through all SSB indexes to derive the proper reference SSB index</w:t>
      </w:r>
    </w:p>
    <w:p>
      <w:pPr>
        <w:pStyle w:val="11"/>
        <w:rPr>
          <w:rFonts w:hint="default" w:eastAsia="宋体"/>
          <w:b/>
          <w:bCs/>
          <w:szCs w:val="20"/>
          <w:highlight w:val="none"/>
          <w:lang w:val="en-US" w:eastAsia="zh-CN"/>
        </w:rPr>
      </w:pPr>
      <w:r>
        <w:rPr>
          <w:rFonts w:hint="eastAsia" w:eastAsia="宋体"/>
          <w:b/>
          <w:bCs/>
          <w:szCs w:val="20"/>
          <w:highlight w:val="none"/>
          <w:lang w:val="en-US" w:eastAsia="zh-CN"/>
        </w:rPr>
        <w:t>Proposal 4: TCI state indication is not necessary during SSB-less SCell activation.</w:t>
      </w:r>
    </w:p>
    <w:p>
      <w:pPr>
        <w:pStyle w:val="11"/>
        <w:rPr>
          <w:rFonts w:hint="eastAsia" w:eastAsia="宋体"/>
          <w:b/>
          <w:bCs/>
          <w:szCs w:val="20"/>
          <w:highlight w:val="none"/>
          <w:lang w:val="en-US" w:eastAsia="zh-CN"/>
        </w:rPr>
      </w:pPr>
      <w:r>
        <w:rPr>
          <w:rFonts w:hint="eastAsia" w:eastAsia="宋体"/>
          <w:b/>
          <w:bCs/>
          <w:szCs w:val="20"/>
          <w:highlight w:val="none"/>
          <w:lang w:val="en-US" w:eastAsia="zh-CN"/>
        </w:rPr>
        <w:t xml:space="preserve">Proposal 5: The fine sync between all the RSs within the SSB-less SCell should be guaranteed by default. </w:t>
      </w:r>
    </w:p>
    <w:p>
      <w:pPr>
        <w:pStyle w:val="11"/>
        <w:rPr>
          <w:rFonts w:hint="eastAsia" w:eastAsia="宋体"/>
          <w:b/>
          <w:bCs/>
          <w:szCs w:val="20"/>
          <w:highlight w:val="none"/>
          <w:lang w:val="en-US" w:eastAsia="zh-CN"/>
        </w:rPr>
      </w:pPr>
      <w:r>
        <w:rPr>
          <w:rFonts w:hint="eastAsia" w:eastAsia="宋体"/>
          <w:b/>
          <w:bCs/>
          <w:szCs w:val="20"/>
          <w:highlight w:val="none"/>
          <w:lang w:val="en-US" w:eastAsia="zh-CN"/>
        </w:rPr>
        <w:t>Observation 2: According to RAN1 specification, A-TRS must tie with P-TRS since the QCL-A of A-TRS should be associated with P-TRS in the same cell.</w:t>
      </w:r>
    </w:p>
    <w:p>
      <w:pPr>
        <w:pStyle w:val="11"/>
        <w:rPr>
          <w:rFonts w:eastAsia="宋体"/>
          <w:bCs/>
          <w:szCs w:val="20"/>
          <w:lang w:val="en-GB" w:eastAsia="zh-CN"/>
        </w:rPr>
      </w:pPr>
      <w:r>
        <w:rPr>
          <w:rFonts w:hint="eastAsia" w:eastAsia="宋体"/>
          <w:b/>
          <w:bCs/>
          <w:szCs w:val="20"/>
          <w:highlight w:val="none"/>
          <w:lang w:val="en-US" w:eastAsia="zh-CN"/>
        </w:rPr>
        <w:t>Proposal 6: the total delay of SSB-less SCell is T</w:t>
      </w:r>
      <w:r>
        <w:rPr>
          <w:rFonts w:hint="eastAsia" w:eastAsia="宋体"/>
          <w:b/>
          <w:bCs/>
          <w:sz w:val="10"/>
          <w:szCs w:val="10"/>
          <w:highlight w:val="none"/>
          <w:lang w:val="en-US" w:eastAsia="zh-CN"/>
        </w:rPr>
        <w:t>TRS</w:t>
      </w:r>
      <w:r>
        <w:rPr>
          <w:rFonts w:hint="eastAsia" w:eastAsia="宋体"/>
          <w:b/>
          <w:bCs/>
          <w:szCs w:val="20"/>
          <w:highlight w:val="none"/>
          <w:lang w:val="en-US" w:eastAsia="zh-CN"/>
        </w:rPr>
        <w:t>+3ms. The component of T</w:t>
      </w:r>
      <w:r>
        <w:rPr>
          <w:rFonts w:hint="eastAsia" w:eastAsia="宋体"/>
          <w:b/>
          <w:bCs/>
          <w:sz w:val="10"/>
          <w:szCs w:val="10"/>
          <w:highlight w:val="none"/>
          <w:lang w:val="en-US" w:eastAsia="zh-CN"/>
        </w:rPr>
        <w:t>TRS</w:t>
      </w:r>
      <w:r>
        <w:rPr>
          <w:rFonts w:hint="eastAsia" w:eastAsia="宋体"/>
          <w:b/>
          <w:bCs/>
          <w:szCs w:val="20"/>
          <w:highlight w:val="none"/>
          <w:lang w:val="en-US" w:eastAsia="zh-CN"/>
        </w:rPr>
        <w:t xml:space="preserve"> is used for fine time tracking and possible AGC refining.</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6"/>
        <w:numPr>
          <w:ilvl w:val="0"/>
          <w:numId w:val="13"/>
        </w:numPr>
        <w:ind w:left="0"/>
        <w:rPr>
          <w:lang w:val="en-US"/>
        </w:rPr>
      </w:pPr>
      <w:r>
        <w:rPr>
          <w:rFonts w:hint="eastAsia"/>
          <w:lang w:val="en-US" w:eastAsia="zh-CN"/>
        </w:rPr>
        <w:t xml:space="preserve">R4-2317405, </w:t>
      </w:r>
      <w:r>
        <w:rPr>
          <w:rFonts w:hint="default"/>
          <w:lang w:val="en-US" w:eastAsia="zh-CN"/>
        </w:rPr>
        <w:t>“WF on RRM requirements for NR network energy saving”</w:t>
      </w:r>
      <w:r>
        <w:rPr>
          <w:rFonts w:hint="eastAsia"/>
          <w:lang w:val="en-US" w:eastAsia="zh-CN"/>
        </w:rPr>
        <w:t>, Huawei</w:t>
      </w:r>
    </w:p>
    <w:p>
      <w:pPr>
        <w:pStyle w:val="6"/>
        <w:numPr>
          <w:ilvl w:val="0"/>
          <w:numId w:val="13"/>
        </w:numPr>
        <w:ind w:left="0"/>
        <w:rPr>
          <w:lang w:val="en-US"/>
        </w:rPr>
      </w:pPr>
      <w:r>
        <w:rPr>
          <w:rFonts w:hint="eastAsia"/>
          <w:lang w:val="en-US" w:eastAsia="zh-CN"/>
        </w:rPr>
        <w:t xml:space="preserve">R4-2316451, </w:t>
      </w:r>
      <w:r>
        <w:rPr>
          <w:rFonts w:hint="default"/>
          <w:lang w:val="en-US" w:eastAsia="zh-CN"/>
        </w:rPr>
        <w:t>“Discussion on SSB-less SCell operation of Network energy saving for NR”</w:t>
      </w:r>
      <w:r>
        <w:rPr>
          <w:rFonts w:hint="eastAsia"/>
          <w:lang w:val="en-US" w:eastAsia="zh-CN"/>
        </w:rPr>
        <w:t>, ZTE</w:t>
      </w:r>
    </w:p>
    <w:p>
      <w:pPr>
        <w:pStyle w:val="6"/>
        <w:numPr>
          <w:ilvl w:val="0"/>
          <w:numId w:val="0"/>
        </w:numPr>
        <w:rPr>
          <w:lang w:val="en-US"/>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BD0CA652"/>
    <w:multiLevelType w:val="multilevel"/>
    <w:tmpl w:val="BD0CA652"/>
    <w:lvl w:ilvl="0" w:tentative="0">
      <w:start w:val="1"/>
      <w:numFmt w:val="decimal"/>
      <w:pStyle w:val="67"/>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8DC47EE"/>
    <w:multiLevelType w:val="multilevel"/>
    <w:tmpl w:val="28DC47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EC3AC0"/>
    <w:multiLevelType w:val="multilevel"/>
    <w:tmpl w:val="3AEC3AC0"/>
    <w:lvl w:ilvl="0" w:tentative="0">
      <w:start w:val="0"/>
      <w:numFmt w:val="bullet"/>
      <w:lvlText w:val="◦"/>
      <w:lvlJc w:val="left"/>
      <w:pPr>
        <w:ind w:left="1140" w:hanging="420"/>
      </w:pPr>
      <w:rPr>
        <w:rFonts w:hint="default" w:ascii="Calibri" w:hAnsi="Calibri"/>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5">
    <w:nsid w:val="464B7DD0"/>
    <w:multiLevelType w:val="multilevel"/>
    <w:tmpl w:val="464B7DD0"/>
    <w:lvl w:ilvl="0" w:tentative="0">
      <w:start w:val="1"/>
      <w:numFmt w:val="bullet"/>
      <w:lvlText w:val=""/>
      <w:lvlJc w:val="left"/>
      <w:pPr>
        <w:tabs>
          <w:tab w:val="left" w:pos="-1260"/>
        </w:tabs>
        <w:ind w:left="520" w:hanging="360"/>
      </w:pPr>
      <w:rPr>
        <w:rFonts w:hint="default" w:ascii="Symbol" w:hAnsi="Symbol"/>
      </w:rPr>
    </w:lvl>
    <w:lvl w:ilvl="1" w:tentative="0">
      <w:start w:val="1"/>
      <w:numFmt w:val="bullet"/>
      <w:lvlText w:val="o"/>
      <w:lvlJc w:val="left"/>
      <w:pPr>
        <w:tabs>
          <w:tab w:val="left" w:pos="-1260"/>
        </w:tabs>
        <w:ind w:left="1240" w:hanging="360"/>
      </w:pPr>
      <w:rPr>
        <w:rFonts w:hint="default" w:ascii="Courier New" w:hAnsi="Courier New" w:cs="Courier New"/>
      </w:rPr>
    </w:lvl>
    <w:lvl w:ilvl="2" w:tentative="0">
      <w:start w:val="1"/>
      <w:numFmt w:val="bullet"/>
      <w:lvlText w:val=""/>
      <w:lvlJc w:val="left"/>
      <w:pPr>
        <w:tabs>
          <w:tab w:val="left" w:pos="-1260"/>
        </w:tabs>
        <w:ind w:left="1960" w:hanging="360"/>
      </w:pPr>
      <w:rPr>
        <w:rFonts w:hint="default" w:ascii="Wingdings" w:hAnsi="Wingdings"/>
      </w:rPr>
    </w:lvl>
    <w:lvl w:ilvl="3" w:tentative="0">
      <w:start w:val="1"/>
      <w:numFmt w:val="bullet"/>
      <w:lvlText w:val=""/>
      <w:lvlJc w:val="left"/>
      <w:pPr>
        <w:tabs>
          <w:tab w:val="left" w:pos="-1260"/>
        </w:tabs>
        <w:ind w:left="2680" w:hanging="360"/>
      </w:pPr>
      <w:rPr>
        <w:rFonts w:hint="default" w:ascii="Symbol" w:hAnsi="Symbol"/>
      </w:rPr>
    </w:lvl>
    <w:lvl w:ilvl="4" w:tentative="0">
      <w:start w:val="1"/>
      <w:numFmt w:val="bullet"/>
      <w:lvlText w:val="o"/>
      <w:lvlJc w:val="left"/>
      <w:pPr>
        <w:tabs>
          <w:tab w:val="left" w:pos="-1260"/>
        </w:tabs>
        <w:ind w:left="3400" w:hanging="360"/>
      </w:pPr>
      <w:rPr>
        <w:rFonts w:hint="default" w:ascii="Courier New" w:hAnsi="Courier New" w:cs="Courier New"/>
      </w:rPr>
    </w:lvl>
    <w:lvl w:ilvl="5" w:tentative="0">
      <w:start w:val="1"/>
      <w:numFmt w:val="bullet"/>
      <w:lvlText w:val=""/>
      <w:lvlJc w:val="left"/>
      <w:pPr>
        <w:tabs>
          <w:tab w:val="left" w:pos="-1260"/>
        </w:tabs>
        <w:ind w:left="4120" w:hanging="360"/>
      </w:pPr>
      <w:rPr>
        <w:rFonts w:hint="default" w:ascii="Wingdings" w:hAnsi="Wingdings"/>
      </w:rPr>
    </w:lvl>
    <w:lvl w:ilvl="6" w:tentative="0">
      <w:start w:val="1"/>
      <w:numFmt w:val="bullet"/>
      <w:lvlText w:val=""/>
      <w:lvlJc w:val="left"/>
      <w:pPr>
        <w:tabs>
          <w:tab w:val="left" w:pos="-1260"/>
        </w:tabs>
        <w:ind w:left="4840" w:hanging="360"/>
      </w:pPr>
      <w:rPr>
        <w:rFonts w:hint="default" w:ascii="Symbol" w:hAnsi="Symbol"/>
      </w:rPr>
    </w:lvl>
    <w:lvl w:ilvl="7" w:tentative="0">
      <w:start w:val="1"/>
      <w:numFmt w:val="bullet"/>
      <w:lvlText w:val="o"/>
      <w:lvlJc w:val="left"/>
      <w:pPr>
        <w:tabs>
          <w:tab w:val="left" w:pos="-1260"/>
        </w:tabs>
        <w:ind w:left="5560" w:hanging="360"/>
      </w:pPr>
      <w:rPr>
        <w:rFonts w:hint="default" w:ascii="Courier New" w:hAnsi="Courier New" w:cs="Courier New"/>
      </w:rPr>
    </w:lvl>
    <w:lvl w:ilvl="8" w:tentative="0">
      <w:start w:val="1"/>
      <w:numFmt w:val="bullet"/>
      <w:lvlText w:val=""/>
      <w:lvlJc w:val="left"/>
      <w:pPr>
        <w:tabs>
          <w:tab w:val="left" w:pos="-1260"/>
        </w:tabs>
        <w:ind w:left="6280" w:hanging="360"/>
      </w:pPr>
      <w:rPr>
        <w:rFonts w:hint="default" w:ascii="Wingdings" w:hAnsi="Wingdings"/>
      </w:rPr>
    </w:lvl>
  </w:abstractNum>
  <w:abstractNum w:abstractNumId="6">
    <w:nsid w:val="4D6E3167"/>
    <w:multiLevelType w:val="multilevel"/>
    <w:tmpl w:val="4D6E3167"/>
    <w:lvl w:ilvl="0" w:tentative="0">
      <w:start w:val="1"/>
      <w:numFmt w:val="decimal"/>
      <w:pStyle w:val="4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8"/>
      <w:numFmt w:val="bullet"/>
      <w:lvlText w:val="-"/>
      <w:lvlJc w:val="left"/>
      <w:pPr>
        <w:tabs>
          <w:tab w:val="left" w:pos="-420"/>
        </w:tabs>
        <w:ind w:left="1956" w:hanging="360"/>
      </w:pPr>
      <w:rPr>
        <w:rFonts w:hint="default" w:ascii="Times New Roman" w:hAnsi="Times New Roman" w:eastAsia="Times New Roman" w:cs="Times New Roman"/>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8">
    <w:nsid w:val="5B411110"/>
    <w:multiLevelType w:val="multilevel"/>
    <w:tmpl w:val="5B4111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D177F5E"/>
    <w:multiLevelType w:val="multilevel"/>
    <w:tmpl w:val="5D177F5E"/>
    <w:lvl w:ilvl="0" w:tentative="0">
      <w:start w:val="1"/>
      <w:numFmt w:val="decimal"/>
      <w:pStyle w:val="6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0">
    <w:nsid w:val="5F185B1C"/>
    <w:multiLevelType w:val="multilevel"/>
    <w:tmpl w:val="5F185B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67267C66"/>
    <w:multiLevelType w:val="multilevel"/>
    <w:tmpl w:val="67267C66"/>
    <w:lvl w:ilvl="0" w:tentative="0">
      <w:start w:val="1"/>
      <w:numFmt w:val="bullet"/>
      <w:lvlText w:val=""/>
      <w:lvlJc w:val="left"/>
      <w:pPr>
        <w:ind w:left="360" w:hanging="360"/>
      </w:pPr>
      <w:rPr>
        <w:rFonts w:hint="default" w:ascii="Symbol" w:hAnsi="Symbol"/>
        <w:lang w:val="en-GB"/>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6B5B4F67"/>
    <w:multiLevelType w:val="multilevel"/>
    <w:tmpl w:val="6B5B4F67"/>
    <w:lvl w:ilvl="0" w:tentative="0">
      <w:start w:val="1"/>
      <w:numFmt w:val="decimal"/>
      <w:pStyle w:val="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2"/>
  </w:num>
  <w:num w:numId="2">
    <w:abstractNumId w:val="6"/>
  </w:num>
  <w:num w:numId="3">
    <w:abstractNumId w:val="1"/>
  </w:num>
  <w:num w:numId="4">
    <w:abstractNumId w:val="9"/>
  </w:num>
  <w:num w:numId="5">
    <w:abstractNumId w:val="2"/>
  </w:num>
  <w:num w:numId="6">
    <w:abstractNumId w:val="8"/>
  </w:num>
  <w:num w:numId="7">
    <w:abstractNumId w:val="4"/>
  </w:num>
  <w:num w:numId="8">
    <w:abstractNumId w:val="10"/>
  </w:num>
  <w:num w:numId="9">
    <w:abstractNumId w:val="7"/>
  </w:num>
  <w:num w:numId="10">
    <w:abstractNumId w:val="5"/>
  </w:num>
  <w:num w:numId="11">
    <w:abstractNumId w:val="3"/>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40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B27"/>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4E2"/>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7F8"/>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4E"/>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0FB3"/>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0864"/>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53C9"/>
    <w:rsid w:val="00A87B21"/>
    <w:rsid w:val="00A92AAF"/>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D7F79"/>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ADC"/>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065B"/>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3C5C"/>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350E"/>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80F"/>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50291B"/>
    <w:rsid w:val="037D0CB3"/>
    <w:rsid w:val="037E115D"/>
    <w:rsid w:val="03D4720A"/>
    <w:rsid w:val="03DB6C44"/>
    <w:rsid w:val="041B2BF5"/>
    <w:rsid w:val="04620396"/>
    <w:rsid w:val="04654053"/>
    <w:rsid w:val="04664537"/>
    <w:rsid w:val="04793516"/>
    <w:rsid w:val="047A3CFF"/>
    <w:rsid w:val="050445C9"/>
    <w:rsid w:val="05317828"/>
    <w:rsid w:val="05477E90"/>
    <w:rsid w:val="05BB5AB9"/>
    <w:rsid w:val="05C42923"/>
    <w:rsid w:val="0654683F"/>
    <w:rsid w:val="06595E1C"/>
    <w:rsid w:val="066D17FF"/>
    <w:rsid w:val="06963BA6"/>
    <w:rsid w:val="06DE38DC"/>
    <w:rsid w:val="07C8213D"/>
    <w:rsid w:val="07CD3CDD"/>
    <w:rsid w:val="082E3C03"/>
    <w:rsid w:val="0855671D"/>
    <w:rsid w:val="089009EB"/>
    <w:rsid w:val="096E699E"/>
    <w:rsid w:val="09716BCA"/>
    <w:rsid w:val="09D64B23"/>
    <w:rsid w:val="09E644B8"/>
    <w:rsid w:val="0A624B8D"/>
    <w:rsid w:val="0A6E7A03"/>
    <w:rsid w:val="0AA30F70"/>
    <w:rsid w:val="0B12013A"/>
    <w:rsid w:val="0B3C38BD"/>
    <w:rsid w:val="0B3D3C2F"/>
    <w:rsid w:val="0BB0429A"/>
    <w:rsid w:val="0BFF5FC6"/>
    <w:rsid w:val="0C394019"/>
    <w:rsid w:val="0D2A60F1"/>
    <w:rsid w:val="0E101265"/>
    <w:rsid w:val="0E352832"/>
    <w:rsid w:val="0E6A489D"/>
    <w:rsid w:val="0FDB2428"/>
    <w:rsid w:val="0FDE07F8"/>
    <w:rsid w:val="10997F43"/>
    <w:rsid w:val="10B412F6"/>
    <w:rsid w:val="10DE7BAE"/>
    <w:rsid w:val="112E04B1"/>
    <w:rsid w:val="11D90C6C"/>
    <w:rsid w:val="11EE781B"/>
    <w:rsid w:val="120774A3"/>
    <w:rsid w:val="12201600"/>
    <w:rsid w:val="12503E08"/>
    <w:rsid w:val="128749DF"/>
    <w:rsid w:val="12A6623E"/>
    <w:rsid w:val="12DF4CD8"/>
    <w:rsid w:val="13283295"/>
    <w:rsid w:val="13971F9B"/>
    <w:rsid w:val="14005BC9"/>
    <w:rsid w:val="14006D19"/>
    <w:rsid w:val="141E2261"/>
    <w:rsid w:val="14337DBF"/>
    <w:rsid w:val="1481754F"/>
    <w:rsid w:val="148F5721"/>
    <w:rsid w:val="14AC57CD"/>
    <w:rsid w:val="15ED3E9B"/>
    <w:rsid w:val="164514BE"/>
    <w:rsid w:val="16605572"/>
    <w:rsid w:val="166A7EA2"/>
    <w:rsid w:val="169254EE"/>
    <w:rsid w:val="16A82401"/>
    <w:rsid w:val="16E54220"/>
    <w:rsid w:val="170F06AA"/>
    <w:rsid w:val="17182C2F"/>
    <w:rsid w:val="17225508"/>
    <w:rsid w:val="180A6E32"/>
    <w:rsid w:val="183F2CD2"/>
    <w:rsid w:val="1856323E"/>
    <w:rsid w:val="18AE24BE"/>
    <w:rsid w:val="18AF55E3"/>
    <w:rsid w:val="18B1519A"/>
    <w:rsid w:val="18CD0507"/>
    <w:rsid w:val="195D7D48"/>
    <w:rsid w:val="19E431C5"/>
    <w:rsid w:val="1A885AE6"/>
    <w:rsid w:val="1A9366B0"/>
    <w:rsid w:val="1ABD5FCB"/>
    <w:rsid w:val="1AD01A1B"/>
    <w:rsid w:val="1B1557CF"/>
    <w:rsid w:val="1B336258"/>
    <w:rsid w:val="1B61065A"/>
    <w:rsid w:val="1BB1405F"/>
    <w:rsid w:val="1BBF3927"/>
    <w:rsid w:val="1BCB6881"/>
    <w:rsid w:val="1C1142CA"/>
    <w:rsid w:val="1C177B08"/>
    <w:rsid w:val="1C9001C6"/>
    <w:rsid w:val="1CBA2101"/>
    <w:rsid w:val="1D0573D7"/>
    <w:rsid w:val="1D070CB6"/>
    <w:rsid w:val="1D153DC4"/>
    <w:rsid w:val="1D223E0B"/>
    <w:rsid w:val="1D9C0FDE"/>
    <w:rsid w:val="1DE44483"/>
    <w:rsid w:val="1DF03D7C"/>
    <w:rsid w:val="1E132F88"/>
    <w:rsid w:val="1E2867E9"/>
    <w:rsid w:val="1E853F6F"/>
    <w:rsid w:val="1E9C7BCC"/>
    <w:rsid w:val="1ECC1E3C"/>
    <w:rsid w:val="1F1C5EEC"/>
    <w:rsid w:val="1F396C30"/>
    <w:rsid w:val="1F8B6954"/>
    <w:rsid w:val="200825A0"/>
    <w:rsid w:val="20100E94"/>
    <w:rsid w:val="204E740F"/>
    <w:rsid w:val="20850FF5"/>
    <w:rsid w:val="20933D8F"/>
    <w:rsid w:val="20B31314"/>
    <w:rsid w:val="20B654AE"/>
    <w:rsid w:val="21014C39"/>
    <w:rsid w:val="2121345D"/>
    <w:rsid w:val="21244EB1"/>
    <w:rsid w:val="213964D8"/>
    <w:rsid w:val="21595D04"/>
    <w:rsid w:val="21F13629"/>
    <w:rsid w:val="22196BB4"/>
    <w:rsid w:val="2305377E"/>
    <w:rsid w:val="2333702C"/>
    <w:rsid w:val="234D6FD6"/>
    <w:rsid w:val="23522F16"/>
    <w:rsid w:val="2389576F"/>
    <w:rsid w:val="240153F9"/>
    <w:rsid w:val="24122135"/>
    <w:rsid w:val="2449719C"/>
    <w:rsid w:val="245B25BF"/>
    <w:rsid w:val="24B5474D"/>
    <w:rsid w:val="24D4257E"/>
    <w:rsid w:val="252169A5"/>
    <w:rsid w:val="25403F3C"/>
    <w:rsid w:val="25490B44"/>
    <w:rsid w:val="2572202B"/>
    <w:rsid w:val="258D4E7D"/>
    <w:rsid w:val="25AB1CB6"/>
    <w:rsid w:val="25E841E6"/>
    <w:rsid w:val="2605683C"/>
    <w:rsid w:val="267E3A44"/>
    <w:rsid w:val="268D4D52"/>
    <w:rsid w:val="269452A9"/>
    <w:rsid w:val="26BB1419"/>
    <w:rsid w:val="27113863"/>
    <w:rsid w:val="276457A5"/>
    <w:rsid w:val="27B748AA"/>
    <w:rsid w:val="27C05389"/>
    <w:rsid w:val="27CB4CB9"/>
    <w:rsid w:val="281C2F58"/>
    <w:rsid w:val="28455DD9"/>
    <w:rsid w:val="288408D1"/>
    <w:rsid w:val="29642C4B"/>
    <w:rsid w:val="296569C3"/>
    <w:rsid w:val="2A2655A3"/>
    <w:rsid w:val="2A2C6E38"/>
    <w:rsid w:val="2A34628C"/>
    <w:rsid w:val="2A724D05"/>
    <w:rsid w:val="2A7E505C"/>
    <w:rsid w:val="2AC85686"/>
    <w:rsid w:val="2AD04B5F"/>
    <w:rsid w:val="2AF821D7"/>
    <w:rsid w:val="2AFF50D8"/>
    <w:rsid w:val="2B2B3C4D"/>
    <w:rsid w:val="2B311294"/>
    <w:rsid w:val="2B4B5EE6"/>
    <w:rsid w:val="2B502806"/>
    <w:rsid w:val="2B7948F6"/>
    <w:rsid w:val="2BC05B2C"/>
    <w:rsid w:val="2BD617C5"/>
    <w:rsid w:val="2BDB15FD"/>
    <w:rsid w:val="2C112837"/>
    <w:rsid w:val="2C69716D"/>
    <w:rsid w:val="2CAE0227"/>
    <w:rsid w:val="2CB80480"/>
    <w:rsid w:val="2E014790"/>
    <w:rsid w:val="2E082A14"/>
    <w:rsid w:val="2E401305"/>
    <w:rsid w:val="2E731B6B"/>
    <w:rsid w:val="2E932654"/>
    <w:rsid w:val="2E960366"/>
    <w:rsid w:val="2ECF4508"/>
    <w:rsid w:val="2EE77680"/>
    <w:rsid w:val="2F2F0FC8"/>
    <w:rsid w:val="2F755F6A"/>
    <w:rsid w:val="2F942988"/>
    <w:rsid w:val="301C6BB6"/>
    <w:rsid w:val="30243A32"/>
    <w:rsid w:val="3049104D"/>
    <w:rsid w:val="30571E20"/>
    <w:rsid w:val="30856C05"/>
    <w:rsid w:val="30D27EA6"/>
    <w:rsid w:val="319708F2"/>
    <w:rsid w:val="31B14C9E"/>
    <w:rsid w:val="327B177A"/>
    <w:rsid w:val="32C33924"/>
    <w:rsid w:val="32E32D84"/>
    <w:rsid w:val="33C522D7"/>
    <w:rsid w:val="3429164D"/>
    <w:rsid w:val="344C4B30"/>
    <w:rsid w:val="34807672"/>
    <w:rsid w:val="34921EC4"/>
    <w:rsid w:val="34A71EFE"/>
    <w:rsid w:val="34A82967"/>
    <w:rsid w:val="34E80126"/>
    <w:rsid w:val="35AD79FC"/>
    <w:rsid w:val="35B06C6A"/>
    <w:rsid w:val="362A0EA8"/>
    <w:rsid w:val="36941AA2"/>
    <w:rsid w:val="36D17C2F"/>
    <w:rsid w:val="36D37423"/>
    <w:rsid w:val="379D23F9"/>
    <w:rsid w:val="37AB4FA6"/>
    <w:rsid w:val="394C72B7"/>
    <w:rsid w:val="3A185287"/>
    <w:rsid w:val="3A1F46B8"/>
    <w:rsid w:val="3A692CD0"/>
    <w:rsid w:val="3A92352C"/>
    <w:rsid w:val="3B270929"/>
    <w:rsid w:val="3B3D5571"/>
    <w:rsid w:val="3B577C68"/>
    <w:rsid w:val="3B673620"/>
    <w:rsid w:val="3B9A1F29"/>
    <w:rsid w:val="3CA30F83"/>
    <w:rsid w:val="3CAB5723"/>
    <w:rsid w:val="3CE4646B"/>
    <w:rsid w:val="3D1737C4"/>
    <w:rsid w:val="3D300544"/>
    <w:rsid w:val="3D4315FC"/>
    <w:rsid w:val="3D5E7AA8"/>
    <w:rsid w:val="3D6F2596"/>
    <w:rsid w:val="3F836EE6"/>
    <w:rsid w:val="3F8B2AF0"/>
    <w:rsid w:val="405F175E"/>
    <w:rsid w:val="408F67FC"/>
    <w:rsid w:val="40BD1A2F"/>
    <w:rsid w:val="40C765F3"/>
    <w:rsid w:val="40D24336"/>
    <w:rsid w:val="416432B5"/>
    <w:rsid w:val="41903325"/>
    <w:rsid w:val="41A2534B"/>
    <w:rsid w:val="41C3545E"/>
    <w:rsid w:val="42500573"/>
    <w:rsid w:val="42F869D2"/>
    <w:rsid w:val="43061D16"/>
    <w:rsid w:val="43285B25"/>
    <w:rsid w:val="43553536"/>
    <w:rsid w:val="43914E6B"/>
    <w:rsid w:val="443A3304"/>
    <w:rsid w:val="443D14D0"/>
    <w:rsid w:val="448E2588"/>
    <w:rsid w:val="44961776"/>
    <w:rsid w:val="44972678"/>
    <w:rsid w:val="44BF6E7D"/>
    <w:rsid w:val="44E85A06"/>
    <w:rsid w:val="451632B9"/>
    <w:rsid w:val="45485273"/>
    <w:rsid w:val="4566717F"/>
    <w:rsid w:val="457B4C4B"/>
    <w:rsid w:val="458F0087"/>
    <w:rsid w:val="45906394"/>
    <w:rsid w:val="45E4124E"/>
    <w:rsid w:val="45F60A50"/>
    <w:rsid w:val="46142D0C"/>
    <w:rsid w:val="46923526"/>
    <w:rsid w:val="46970A81"/>
    <w:rsid w:val="4697115A"/>
    <w:rsid w:val="46B036BF"/>
    <w:rsid w:val="471E7E6C"/>
    <w:rsid w:val="47282363"/>
    <w:rsid w:val="47701BD2"/>
    <w:rsid w:val="482E2EBF"/>
    <w:rsid w:val="48346B27"/>
    <w:rsid w:val="48377D9E"/>
    <w:rsid w:val="48FC12CE"/>
    <w:rsid w:val="493D3211"/>
    <w:rsid w:val="49464E7D"/>
    <w:rsid w:val="49BB6774"/>
    <w:rsid w:val="49DC4EAC"/>
    <w:rsid w:val="49E55BC5"/>
    <w:rsid w:val="4A170D67"/>
    <w:rsid w:val="4A2E4752"/>
    <w:rsid w:val="4A314393"/>
    <w:rsid w:val="4A502337"/>
    <w:rsid w:val="4B017C80"/>
    <w:rsid w:val="4B5C6CFE"/>
    <w:rsid w:val="4BD16360"/>
    <w:rsid w:val="4BEE6F15"/>
    <w:rsid w:val="4BF24EEB"/>
    <w:rsid w:val="4C1C63D6"/>
    <w:rsid w:val="4C864A35"/>
    <w:rsid w:val="4CD61886"/>
    <w:rsid w:val="4D167DF7"/>
    <w:rsid w:val="4E015C76"/>
    <w:rsid w:val="4E310026"/>
    <w:rsid w:val="4E4A2325"/>
    <w:rsid w:val="4ED56361"/>
    <w:rsid w:val="4EDB4B65"/>
    <w:rsid w:val="4EEE4C05"/>
    <w:rsid w:val="4F5C5331"/>
    <w:rsid w:val="501A6C55"/>
    <w:rsid w:val="504338E1"/>
    <w:rsid w:val="505E1A7C"/>
    <w:rsid w:val="50DD750F"/>
    <w:rsid w:val="51B14BED"/>
    <w:rsid w:val="51CB19F2"/>
    <w:rsid w:val="51F437A2"/>
    <w:rsid w:val="523522B3"/>
    <w:rsid w:val="52526454"/>
    <w:rsid w:val="525C1CEF"/>
    <w:rsid w:val="528B5767"/>
    <w:rsid w:val="52D33625"/>
    <w:rsid w:val="52E34B8A"/>
    <w:rsid w:val="537958C3"/>
    <w:rsid w:val="53A3105E"/>
    <w:rsid w:val="53C64B93"/>
    <w:rsid w:val="540678E0"/>
    <w:rsid w:val="54283FDA"/>
    <w:rsid w:val="54564E31"/>
    <w:rsid w:val="548A6C60"/>
    <w:rsid w:val="55B1164D"/>
    <w:rsid w:val="55B4735E"/>
    <w:rsid w:val="55BB221D"/>
    <w:rsid w:val="55F52EA4"/>
    <w:rsid w:val="56371459"/>
    <w:rsid w:val="56484633"/>
    <w:rsid w:val="56E22593"/>
    <w:rsid w:val="5708349C"/>
    <w:rsid w:val="58555010"/>
    <w:rsid w:val="588147F2"/>
    <w:rsid w:val="58D0053D"/>
    <w:rsid w:val="598C40A0"/>
    <w:rsid w:val="59935EC3"/>
    <w:rsid w:val="59DA647E"/>
    <w:rsid w:val="5A556E1A"/>
    <w:rsid w:val="5A7649FC"/>
    <w:rsid w:val="5AD01678"/>
    <w:rsid w:val="5B583B1B"/>
    <w:rsid w:val="5B8F064C"/>
    <w:rsid w:val="5BB2626A"/>
    <w:rsid w:val="5BF6112C"/>
    <w:rsid w:val="5C876D53"/>
    <w:rsid w:val="5CA427FE"/>
    <w:rsid w:val="5CDE432F"/>
    <w:rsid w:val="5D392BBD"/>
    <w:rsid w:val="5D671DA2"/>
    <w:rsid w:val="5DDC6599"/>
    <w:rsid w:val="5E2864D0"/>
    <w:rsid w:val="5E2A1A3D"/>
    <w:rsid w:val="5E38414F"/>
    <w:rsid w:val="5E494511"/>
    <w:rsid w:val="5E8D725A"/>
    <w:rsid w:val="5EB44FC0"/>
    <w:rsid w:val="5FA4358E"/>
    <w:rsid w:val="5FBA395F"/>
    <w:rsid w:val="60EC2CBA"/>
    <w:rsid w:val="61442C0D"/>
    <w:rsid w:val="615E6B53"/>
    <w:rsid w:val="61CC2D28"/>
    <w:rsid w:val="61F14827"/>
    <w:rsid w:val="622409B3"/>
    <w:rsid w:val="62296DAB"/>
    <w:rsid w:val="62AB695F"/>
    <w:rsid w:val="62F766B1"/>
    <w:rsid w:val="632E2686"/>
    <w:rsid w:val="63415308"/>
    <w:rsid w:val="635902CD"/>
    <w:rsid w:val="635E6E54"/>
    <w:rsid w:val="640111D3"/>
    <w:rsid w:val="6453068A"/>
    <w:rsid w:val="64706BBE"/>
    <w:rsid w:val="647235D4"/>
    <w:rsid w:val="64BE6D26"/>
    <w:rsid w:val="64F02CA7"/>
    <w:rsid w:val="64F2095B"/>
    <w:rsid w:val="659E5E96"/>
    <w:rsid w:val="65B6141B"/>
    <w:rsid w:val="65C17F1F"/>
    <w:rsid w:val="65C814E8"/>
    <w:rsid w:val="673945B0"/>
    <w:rsid w:val="674279DC"/>
    <w:rsid w:val="676A4DBB"/>
    <w:rsid w:val="67A858DB"/>
    <w:rsid w:val="67FB6FEA"/>
    <w:rsid w:val="67FE4166"/>
    <w:rsid w:val="685F373C"/>
    <w:rsid w:val="68B86F93"/>
    <w:rsid w:val="68C401C3"/>
    <w:rsid w:val="68EF121D"/>
    <w:rsid w:val="6911679D"/>
    <w:rsid w:val="6942220A"/>
    <w:rsid w:val="69A833BD"/>
    <w:rsid w:val="69F4408A"/>
    <w:rsid w:val="69FC3483"/>
    <w:rsid w:val="6A1E25AA"/>
    <w:rsid w:val="6AA145C5"/>
    <w:rsid w:val="6AB215EC"/>
    <w:rsid w:val="6ABF10D3"/>
    <w:rsid w:val="6AC77930"/>
    <w:rsid w:val="6BCB2EC8"/>
    <w:rsid w:val="6C126A8E"/>
    <w:rsid w:val="6C5959EE"/>
    <w:rsid w:val="6C681E3D"/>
    <w:rsid w:val="6C7172AA"/>
    <w:rsid w:val="6CC34D51"/>
    <w:rsid w:val="6CE16D19"/>
    <w:rsid w:val="6D566F0F"/>
    <w:rsid w:val="6D836F72"/>
    <w:rsid w:val="6D944C6F"/>
    <w:rsid w:val="6DA200E2"/>
    <w:rsid w:val="6DDE3DAF"/>
    <w:rsid w:val="6E17316D"/>
    <w:rsid w:val="6E3241BE"/>
    <w:rsid w:val="6EB97A9D"/>
    <w:rsid w:val="6EBE48B8"/>
    <w:rsid w:val="6EF10A90"/>
    <w:rsid w:val="6EF77781"/>
    <w:rsid w:val="6F7F3578"/>
    <w:rsid w:val="6FF86D3D"/>
    <w:rsid w:val="6FFF1868"/>
    <w:rsid w:val="70BA3065"/>
    <w:rsid w:val="715F4C2D"/>
    <w:rsid w:val="722F78FB"/>
    <w:rsid w:val="723D67C5"/>
    <w:rsid w:val="72BB13CA"/>
    <w:rsid w:val="72BF60CA"/>
    <w:rsid w:val="72F407E5"/>
    <w:rsid w:val="72F41282"/>
    <w:rsid w:val="7315732A"/>
    <w:rsid w:val="733D0D32"/>
    <w:rsid w:val="734D6E7B"/>
    <w:rsid w:val="73D411F1"/>
    <w:rsid w:val="74707EF3"/>
    <w:rsid w:val="74E343E2"/>
    <w:rsid w:val="753643C5"/>
    <w:rsid w:val="753811DE"/>
    <w:rsid w:val="75A84280"/>
    <w:rsid w:val="75BE67D4"/>
    <w:rsid w:val="75BF5E46"/>
    <w:rsid w:val="75C2004C"/>
    <w:rsid w:val="75C759C1"/>
    <w:rsid w:val="762D64F3"/>
    <w:rsid w:val="763C7B5C"/>
    <w:rsid w:val="766B63D6"/>
    <w:rsid w:val="767E7EFF"/>
    <w:rsid w:val="76B74C4A"/>
    <w:rsid w:val="775B4604"/>
    <w:rsid w:val="77915630"/>
    <w:rsid w:val="77C067C3"/>
    <w:rsid w:val="783F569F"/>
    <w:rsid w:val="78911E31"/>
    <w:rsid w:val="78972821"/>
    <w:rsid w:val="78C135CF"/>
    <w:rsid w:val="78C4151D"/>
    <w:rsid w:val="7922350F"/>
    <w:rsid w:val="792B5470"/>
    <w:rsid w:val="793A44B1"/>
    <w:rsid w:val="79D36CF1"/>
    <w:rsid w:val="7A9367CB"/>
    <w:rsid w:val="7AC62F94"/>
    <w:rsid w:val="7AF22571"/>
    <w:rsid w:val="7B69224B"/>
    <w:rsid w:val="7B6A22B8"/>
    <w:rsid w:val="7BE80F25"/>
    <w:rsid w:val="7C1C35A7"/>
    <w:rsid w:val="7C2A2E20"/>
    <w:rsid w:val="7C45431D"/>
    <w:rsid w:val="7C734B44"/>
    <w:rsid w:val="7CA87C8D"/>
    <w:rsid w:val="7CCF289A"/>
    <w:rsid w:val="7D1431D0"/>
    <w:rsid w:val="7D3219D5"/>
    <w:rsid w:val="7DC023D8"/>
    <w:rsid w:val="7DDD0501"/>
    <w:rsid w:val="7DE51372"/>
    <w:rsid w:val="7DFF100D"/>
    <w:rsid w:val="7E0D518D"/>
    <w:rsid w:val="7E5E590F"/>
    <w:rsid w:val="7E935AFB"/>
    <w:rsid w:val="7ECE38F6"/>
    <w:rsid w:val="7EE051EC"/>
    <w:rsid w:val="7F4C7A89"/>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99"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6"/>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7"/>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3"/>
    <w:unhideWhenUsed/>
    <w:qFormat/>
    <w:uiPriority w:val="9"/>
    <w:pPr>
      <w:keepNext/>
      <w:keepLines/>
      <w:spacing w:before="260" w:after="260" w:line="416" w:lineRule="auto"/>
      <w:outlineLvl w:val="2"/>
    </w:pPr>
    <w:rPr>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List 3"/>
    <w:basedOn w:val="6"/>
    <w:semiHidden/>
    <w:unhideWhenUsed/>
    <w:qFormat/>
    <w:uiPriority w:val="99"/>
    <w:pPr>
      <w:ind w:left="100" w:leftChars="400" w:hanging="200" w:hangingChars="200"/>
      <w:contextualSpacing/>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3"/>
    <w:semiHidden/>
    <w:unhideWhenUsed/>
    <w:qFormat/>
    <w:uiPriority w:val="99"/>
    <w:rPr>
      <w:rFonts w:ascii="宋体" w:eastAsia="宋体"/>
      <w:sz w:val="18"/>
      <w:szCs w:val="18"/>
    </w:rPr>
  </w:style>
  <w:style w:type="paragraph" w:styleId="10">
    <w:name w:val="annotation text"/>
    <w:basedOn w:val="1"/>
    <w:link w:val="65"/>
    <w:semiHidden/>
    <w:unhideWhenUsed/>
    <w:qFormat/>
    <w:uiPriority w:val="0"/>
  </w:style>
  <w:style w:type="paragraph" w:styleId="11">
    <w:name w:val="Body Text"/>
    <w:basedOn w:val="1"/>
    <w:link w:val="28"/>
    <w:qFormat/>
    <w:uiPriority w:val="0"/>
    <w:pPr>
      <w:spacing w:after="120"/>
      <w:jc w:val="both"/>
    </w:pPr>
    <w:rPr>
      <w:rFonts w:eastAsia="MS Mincho"/>
      <w:lang w:val="zh-CN"/>
    </w:rPr>
  </w:style>
  <w:style w:type="paragraph" w:styleId="12">
    <w:name w:val="Date"/>
    <w:basedOn w:val="1"/>
    <w:next w:val="1"/>
    <w:link w:val="50"/>
    <w:semiHidden/>
    <w:unhideWhenUsed/>
    <w:qFormat/>
    <w:uiPriority w:val="99"/>
    <w:pPr>
      <w:ind w:left="100" w:leftChars="2500"/>
    </w:pPr>
  </w:style>
  <w:style w:type="paragraph" w:styleId="13">
    <w:name w:val="Balloon Text"/>
    <w:basedOn w:val="1"/>
    <w:link w:val="25"/>
    <w:semiHidden/>
    <w:unhideWhenUsed/>
    <w:qFormat/>
    <w:uiPriority w:val="99"/>
    <w:rPr>
      <w:sz w:val="18"/>
      <w:szCs w:val="18"/>
      <w:lang w:val="zh-CN"/>
    </w:rPr>
  </w:style>
  <w:style w:type="paragraph" w:styleId="14">
    <w:name w:val="footer"/>
    <w:basedOn w:val="1"/>
    <w:link w:val="31"/>
    <w:unhideWhenUsed/>
    <w:qFormat/>
    <w:uiPriority w:val="99"/>
    <w:pPr>
      <w:tabs>
        <w:tab w:val="center" w:pos="4153"/>
        <w:tab w:val="right" w:pos="8306"/>
      </w:tabs>
      <w:snapToGrid w:val="0"/>
    </w:pPr>
    <w:rPr>
      <w:sz w:val="18"/>
      <w:szCs w:val="18"/>
      <w:lang w:val="zh-CN"/>
    </w:rPr>
  </w:style>
  <w:style w:type="paragraph" w:styleId="15">
    <w:name w:val="header"/>
    <w:basedOn w:val="1"/>
    <w:link w:val="29"/>
    <w:qFormat/>
    <w:uiPriority w:val="0"/>
    <w:pPr>
      <w:tabs>
        <w:tab w:val="center" w:pos="4536"/>
        <w:tab w:val="right" w:pos="9072"/>
      </w:tabs>
    </w:pPr>
    <w:rPr>
      <w:rFonts w:ascii="Arial" w:hAnsi="Arial" w:eastAsia="MS Mincho"/>
      <w:b/>
      <w:lang w:val="zh-CN"/>
    </w:rPr>
  </w:style>
  <w:style w:type="paragraph" w:styleId="16">
    <w:name w:val="List 4"/>
    <w:basedOn w:val="5"/>
    <w:qFormat/>
    <w:uiPriority w:val="0"/>
    <w:pPr>
      <w:ind w:left="1418"/>
    </w:p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8">
    <w:name w:val="annotation subject"/>
    <w:basedOn w:val="10"/>
    <w:next w:val="10"/>
    <w:link w:val="66"/>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qFormat/>
    <w:uiPriority w:val="99"/>
    <w:rPr>
      <w:color w:val="0000FF"/>
      <w:u w:val="single"/>
    </w:rPr>
  </w:style>
  <w:style w:type="character" w:styleId="24">
    <w:name w:val="annotation reference"/>
    <w:basedOn w:val="21"/>
    <w:semiHidden/>
    <w:unhideWhenUsed/>
    <w:qFormat/>
    <w:uiPriority w:val="99"/>
    <w:rPr>
      <w:sz w:val="21"/>
      <w:szCs w:val="21"/>
    </w:rPr>
  </w:style>
  <w:style w:type="character" w:customStyle="1" w:styleId="25">
    <w:name w:val="批注框文本 字符"/>
    <w:link w:val="13"/>
    <w:semiHidden/>
    <w:qFormat/>
    <w:uiPriority w:val="99"/>
    <w:rPr>
      <w:rFonts w:ascii="Times New Roman" w:hAnsi="Times New Roman" w:eastAsia="Times New Roman" w:cs="Times New Roman"/>
      <w:kern w:val="0"/>
      <w:sz w:val="18"/>
      <w:szCs w:val="18"/>
      <w:lang w:eastAsia="en-US"/>
    </w:rPr>
  </w:style>
  <w:style w:type="character" w:customStyle="1" w:styleId="26">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7">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8">
    <w:name w:val="正文文本 字符"/>
    <w:link w:val="11"/>
    <w:qFormat/>
    <w:uiPriority w:val="0"/>
    <w:rPr>
      <w:rFonts w:ascii="Times New Roman" w:hAnsi="Times New Roman" w:eastAsia="MS Mincho" w:cs="Times New Roman"/>
      <w:kern w:val="0"/>
      <w:sz w:val="20"/>
      <w:szCs w:val="24"/>
      <w:lang w:val="zh-CN" w:eastAsia="en-US"/>
    </w:rPr>
  </w:style>
  <w:style w:type="character" w:customStyle="1" w:styleId="29">
    <w:name w:val="页眉 字符"/>
    <w:link w:val="15"/>
    <w:qFormat/>
    <w:uiPriority w:val="0"/>
    <w:rPr>
      <w:rFonts w:ascii="Arial" w:hAnsi="Arial" w:eastAsia="MS Mincho" w:cs="Times New Roman"/>
      <w:b/>
      <w:kern w:val="0"/>
      <w:sz w:val="20"/>
      <w:szCs w:val="24"/>
      <w:lang w:val="zh-CN" w:eastAsia="en-US"/>
    </w:rPr>
  </w:style>
  <w:style w:type="paragraph" w:customStyle="1" w:styleId="30">
    <w:name w:val="Paragraphe de liste"/>
    <w:basedOn w:val="1"/>
    <w:qFormat/>
    <w:uiPriority w:val="34"/>
    <w:pPr>
      <w:ind w:left="720"/>
    </w:pPr>
    <w:rPr>
      <w:rFonts w:eastAsia="宋体"/>
      <w:sz w:val="24"/>
      <w:lang w:val="fr-FR" w:eastAsia="zh-CN"/>
    </w:rPr>
  </w:style>
  <w:style w:type="character" w:customStyle="1" w:styleId="31">
    <w:name w:val="页脚 字符"/>
    <w:link w:val="14"/>
    <w:qFormat/>
    <w:uiPriority w:val="99"/>
    <w:rPr>
      <w:rFonts w:ascii="Times New Roman" w:hAnsi="Times New Roman" w:eastAsia="Times New Roman" w:cs="Times New Roman"/>
      <w:kern w:val="0"/>
      <w:sz w:val="18"/>
      <w:szCs w:val="18"/>
      <w:lang w:eastAsia="en-US"/>
    </w:rPr>
  </w:style>
  <w:style w:type="paragraph" w:styleId="32">
    <w:name w:val="List Paragraph"/>
    <w:basedOn w:val="1"/>
    <w:link w:val="48"/>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3">
    <w:name w:val="文档结构图 字符"/>
    <w:link w:val="9"/>
    <w:semiHidden/>
    <w:qFormat/>
    <w:uiPriority w:val="99"/>
    <w:rPr>
      <w:rFonts w:ascii="宋体" w:hAnsi="Times New Roman"/>
      <w:sz w:val="18"/>
      <w:szCs w:val="18"/>
      <w:lang w:eastAsia="en-US"/>
    </w:rPr>
  </w:style>
  <w:style w:type="paragraph" w:customStyle="1" w:styleId="34">
    <w:name w:val="B1"/>
    <w:basedOn w:val="7"/>
    <w:link w:val="35"/>
    <w:qFormat/>
    <w:uiPriority w:val="0"/>
    <w:pPr>
      <w:spacing w:after="180"/>
      <w:ind w:left="568" w:hanging="284" w:firstLineChars="0"/>
      <w:contextualSpacing w:val="0"/>
    </w:pPr>
    <w:rPr>
      <w:rFonts w:eastAsia="宋体"/>
      <w:szCs w:val="20"/>
      <w:lang w:val="en-GB"/>
    </w:rPr>
  </w:style>
  <w:style w:type="character" w:customStyle="1" w:styleId="35">
    <w:name w:val="B1 (文字)"/>
    <w:link w:val="34"/>
    <w:qFormat/>
    <w:locked/>
    <w:uiPriority w:val="0"/>
    <w:rPr>
      <w:rFonts w:ascii="Times New Roman" w:hAnsi="Times New Roman"/>
      <w:lang w:val="en-GB" w:eastAsia="en-US"/>
    </w:rPr>
  </w:style>
  <w:style w:type="character" w:customStyle="1" w:styleId="36">
    <w:name w:val="B1 Char1"/>
    <w:qFormat/>
    <w:uiPriority w:val="0"/>
    <w:rPr>
      <w:lang w:val="en-GB" w:eastAsia="en-US"/>
    </w:rPr>
  </w:style>
  <w:style w:type="paragraph" w:customStyle="1" w:styleId="37">
    <w:name w:val="TAH"/>
    <w:basedOn w:val="38"/>
    <w:link w:val="43"/>
    <w:qFormat/>
    <w:uiPriority w:val="0"/>
    <w:rPr>
      <w:b/>
    </w:rPr>
  </w:style>
  <w:style w:type="paragraph" w:customStyle="1" w:styleId="38">
    <w:name w:val="TAC"/>
    <w:basedOn w:val="39"/>
    <w:link w:val="42"/>
    <w:qFormat/>
    <w:uiPriority w:val="0"/>
    <w:pPr>
      <w:jc w:val="center"/>
    </w:pPr>
    <w:rPr>
      <w:lang w:eastAsia="zh-CN"/>
    </w:rPr>
  </w:style>
  <w:style w:type="paragraph" w:customStyle="1" w:styleId="39">
    <w:name w:val="TAL"/>
    <w:basedOn w:val="1"/>
    <w:link w:val="52"/>
    <w:qFormat/>
    <w:uiPriority w:val="0"/>
    <w:pPr>
      <w:keepNext/>
      <w:keepLines/>
    </w:pPr>
    <w:rPr>
      <w:rFonts w:ascii="Arial" w:hAnsi="Arial" w:eastAsia="宋体"/>
      <w:sz w:val="18"/>
      <w:szCs w:val="20"/>
      <w:lang w:val="en-GB"/>
    </w:rPr>
  </w:style>
  <w:style w:type="paragraph" w:customStyle="1" w:styleId="40">
    <w:name w:val="TH"/>
    <w:basedOn w:val="1"/>
    <w:link w:val="41"/>
    <w:qFormat/>
    <w:uiPriority w:val="0"/>
    <w:pPr>
      <w:keepNext/>
      <w:keepLines/>
      <w:spacing w:before="60" w:after="180"/>
      <w:jc w:val="center"/>
    </w:pPr>
    <w:rPr>
      <w:rFonts w:ascii="Arial" w:hAnsi="Arial" w:eastAsia="宋体"/>
      <w:b/>
      <w:szCs w:val="20"/>
      <w:lang w:val="en-GB" w:eastAsia="zh-CN"/>
    </w:rPr>
  </w:style>
  <w:style w:type="character" w:customStyle="1" w:styleId="41">
    <w:name w:val="TH Char"/>
    <w:link w:val="40"/>
    <w:qFormat/>
    <w:uiPriority w:val="0"/>
    <w:rPr>
      <w:rFonts w:ascii="Arial" w:hAnsi="Arial" w:eastAsia="宋体"/>
      <w:b/>
      <w:lang w:val="en-GB" w:eastAsia="zh-CN"/>
    </w:rPr>
  </w:style>
  <w:style w:type="character" w:customStyle="1" w:styleId="42">
    <w:name w:val="TAC Char"/>
    <w:link w:val="38"/>
    <w:qFormat/>
    <w:uiPriority w:val="0"/>
    <w:rPr>
      <w:rFonts w:ascii="Arial" w:hAnsi="Arial" w:eastAsia="宋体"/>
      <w:sz w:val="18"/>
      <w:lang w:val="en-GB" w:eastAsia="zh-CN"/>
    </w:rPr>
  </w:style>
  <w:style w:type="character" w:customStyle="1" w:styleId="43">
    <w:name w:val="TAH Car"/>
    <w:link w:val="37"/>
    <w:qFormat/>
    <w:uiPriority w:val="0"/>
    <w:rPr>
      <w:rFonts w:ascii="Arial" w:hAnsi="Arial" w:eastAsia="宋体"/>
      <w:b/>
      <w:sz w:val="18"/>
      <w:lang w:val="en-GB" w:eastAsia="zh-CN"/>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5">
    <w:name w:val="TAR"/>
    <w:basedOn w:val="1"/>
    <w:qFormat/>
    <w:uiPriority w:val="0"/>
    <w:pPr>
      <w:keepNext/>
      <w:keepLines/>
      <w:jc w:val="right"/>
    </w:pPr>
    <w:rPr>
      <w:rFonts w:ascii="Arial" w:hAnsi="Arial" w:eastAsia="宋体"/>
      <w:sz w:val="18"/>
      <w:szCs w:val="20"/>
      <w:lang w:val="en-GB"/>
    </w:rPr>
  </w:style>
  <w:style w:type="paragraph" w:customStyle="1" w:styleId="46">
    <w:name w:val="RAN4 proposal"/>
    <w:basedOn w:val="8"/>
    <w:next w:val="1"/>
    <w:link w:val="47"/>
    <w:qFormat/>
    <w:uiPriority w:val="0"/>
    <w:pPr>
      <w:numPr>
        <w:ilvl w:val="0"/>
        <w:numId w:val="2"/>
      </w:numPr>
      <w:spacing w:after="200"/>
      <w:ind w:left="0" w:firstLine="0"/>
    </w:pPr>
    <w:rPr>
      <w:rFonts w:ascii="Times New Roman" w:hAnsi="Times New Roman" w:eastAsia="宋体"/>
      <w:b/>
      <w:iCs/>
      <w:szCs w:val="18"/>
    </w:rPr>
  </w:style>
  <w:style w:type="character" w:customStyle="1" w:styleId="47">
    <w:name w:val="RAN4 proposal Char"/>
    <w:link w:val="46"/>
    <w:qFormat/>
    <w:uiPriority w:val="0"/>
    <w:rPr>
      <w:rFonts w:ascii="Times New Roman" w:hAnsi="Times New Roman"/>
      <w:b/>
      <w:iCs/>
      <w:szCs w:val="18"/>
      <w:lang w:eastAsia="en-US"/>
    </w:rPr>
  </w:style>
  <w:style w:type="character" w:customStyle="1" w:styleId="48">
    <w:name w:val="列表段落 字符"/>
    <w:link w:val="32"/>
    <w:qFormat/>
    <w:uiPriority w:val="34"/>
    <w:rPr>
      <w:kern w:val="2"/>
      <w:sz w:val="21"/>
      <w:szCs w:val="22"/>
    </w:rPr>
  </w:style>
  <w:style w:type="character" w:customStyle="1" w:styleId="49">
    <w:name w:val="ZGSM"/>
    <w:qFormat/>
    <w:uiPriority w:val="0"/>
  </w:style>
  <w:style w:type="character" w:customStyle="1" w:styleId="50">
    <w:name w:val="日期 字符"/>
    <w:link w:val="12"/>
    <w:semiHidden/>
    <w:qFormat/>
    <w:uiPriority w:val="99"/>
    <w:rPr>
      <w:rFonts w:ascii="Times New Roman" w:hAnsi="Times New Roman" w:eastAsia="Times New Roman"/>
      <w:szCs w:val="24"/>
      <w:lang w:eastAsia="en-US"/>
    </w:rPr>
  </w:style>
  <w:style w:type="paragraph" w:customStyle="1" w:styleId="51">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2">
    <w:name w:val="TAL Char"/>
    <w:link w:val="39"/>
    <w:qFormat/>
    <w:uiPriority w:val="0"/>
    <w:rPr>
      <w:rFonts w:ascii="Arial" w:hAnsi="Arial"/>
      <w:sz w:val="18"/>
      <w:lang w:val="en-GB" w:eastAsia="en-US"/>
    </w:rPr>
  </w:style>
  <w:style w:type="character" w:customStyle="1" w:styleId="53">
    <w:name w:val="标题 3 字符"/>
    <w:link w:val="4"/>
    <w:qFormat/>
    <w:uiPriority w:val="9"/>
    <w:rPr>
      <w:rFonts w:ascii="Times New Roman" w:hAnsi="Times New Roman" w:eastAsia="Times New Roman"/>
      <w:b/>
      <w:bCs/>
      <w:sz w:val="32"/>
      <w:szCs w:val="32"/>
      <w:lang w:eastAsia="en-US"/>
    </w:rPr>
  </w:style>
  <w:style w:type="character" w:customStyle="1" w:styleId="54">
    <w:name w:val="TAL Car"/>
    <w:qFormat/>
    <w:uiPriority w:val="0"/>
    <w:rPr>
      <w:rFonts w:ascii="Arial" w:hAnsi="Arial" w:eastAsia="Times New Roman" w:cs="Times New Roman"/>
      <w:kern w:val="0"/>
      <w:sz w:val="18"/>
      <w:szCs w:val="20"/>
      <w:lang w:val="en-GB" w:eastAsia="ko-KR"/>
    </w:rPr>
  </w:style>
  <w:style w:type="paragraph" w:customStyle="1" w:styleId="55">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6">
    <w:name w:val="TAN"/>
    <w:basedOn w:val="39"/>
    <w:qFormat/>
    <w:uiPriority w:val="0"/>
    <w:pPr>
      <w:ind w:left="851" w:hanging="851"/>
    </w:pPr>
  </w:style>
  <w:style w:type="character" w:customStyle="1" w:styleId="57">
    <w:name w:val="normaltextrun"/>
    <w:basedOn w:val="21"/>
    <w:qFormat/>
    <w:uiPriority w:val="0"/>
  </w:style>
  <w:style w:type="character" w:customStyle="1" w:styleId="58">
    <w:name w:val="eop"/>
    <w:basedOn w:val="21"/>
    <w:qFormat/>
    <w:uiPriority w:val="0"/>
  </w:style>
  <w:style w:type="paragraph" w:customStyle="1" w:styleId="59">
    <w:name w:val="paragraph"/>
    <w:basedOn w:val="1"/>
    <w:qFormat/>
    <w:uiPriority w:val="0"/>
    <w:pPr>
      <w:spacing w:before="100" w:beforeAutospacing="1" w:after="100" w:afterAutospacing="1"/>
    </w:pPr>
    <w:rPr>
      <w:sz w:val="24"/>
    </w:rPr>
  </w:style>
  <w:style w:type="paragraph" w:customStyle="1" w:styleId="60">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1">
    <w:name w:val="B2"/>
    <w:basedOn w:val="6"/>
    <w:qFormat/>
    <w:uiPriority w:val="0"/>
  </w:style>
  <w:style w:type="paragraph" w:customStyle="1" w:styleId="62">
    <w:name w:val="B3"/>
    <w:basedOn w:val="5"/>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en-GB"/>
    </w:rPr>
  </w:style>
  <w:style w:type="paragraph" w:customStyle="1" w:styleId="63">
    <w:name w:val="References"/>
    <w:basedOn w:val="1"/>
    <w:qFormat/>
    <w:uiPriority w:val="0"/>
    <w:pPr>
      <w:snapToGrid w:val="0"/>
      <w:spacing w:after="60"/>
      <w:jc w:val="both"/>
    </w:pPr>
    <w:rPr>
      <w:szCs w:val="16"/>
    </w:rPr>
  </w:style>
  <w:style w:type="paragraph" w:customStyle="1" w:styleId="64">
    <w:name w:val="B4"/>
    <w:basedOn w:val="16"/>
    <w:qFormat/>
    <w:uiPriority w:val="0"/>
  </w:style>
  <w:style w:type="character" w:customStyle="1" w:styleId="65">
    <w:name w:val="批注文字 字符"/>
    <w:basedOn w:val="21"/>
    <w:link w:val="10"/>
    <w:semiHidden/>
    <w:qFormat/>
    <w:uiPriority w:val="0"/>
    <w:rPr>
      <w:rFonts w:eastAsia="Times New Roman"/>
      <w:szCs w:val="24"/>
      <w:lang w:eastAsia="en-US"/>
    </w:rPr>
  </w:style>
  <w:style w:type="character" w:customStyle="1" w:styleId="66">
    <w:name w:val="批注主题 字符"/>
    <w:basedOn w:val="65"/>
    <w:link w:val="18"/>
    <w:semiHidden/>
    <w:qFormat/>
    <w:uiPriority w:val="99"/>
    <w:rPr>
      <w:rFonts w:eastAsia="Times New Roman"/>
      <w:b/>
      <w:bCs/>
      <w:szCs w:val="24"/>
      <w:lang w:eastAsia="en-US"/>
    </w:rPr>
  </w:style>
  <w:style w:type="paragraph" w:customStyle="1" w:styleId="67">
    <w:name w:val="YJ-Proposal"/>
    <w:basedOn w:val="1"/>
    <w:qFormat/>
    <w:uiPriority w:val="0"/>
    <w:pPr>
      <w:numPr>
        <w:ilvl w:val="0"/>
        <w:numId w:val="3"/>
      </w:numPr>
      <w:tabs>
        <w:tab w:val="left" w:pos="0"/>
      </w:tabs>
    </w:pPr>
    <w:rPr>
      <w:rFonts w:eastAsiaTheme="minorEastAsia"/>
      <w:b/>
      <w:bCs/>
      <w:szCs w:val="21"/>
      <w:lang w:val="en-GB" w:eastAsia="en-US"/>
    </w:rPr>
  </w:style>
  <w:style w:type="paragraph" w:customStyle="1" w:styleId="68">
    <w:name w:val="Char"/>
    <w:basedOn w:val="32"/>
    <w:qFormat/>
    <w:uiPriority w:val="0"/>
    <w:pPr>
      <w:keepNext/>
      <w:keepLines/>
      <w:widowControl/>
      <w:numPr>
        <w:ilvl w:val="0"/>
        <w:numId w:val="4"/>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F23824-850A-45B5-BCEF-EAF62F594BF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3382</Words>
  <Characters>19281</Characters>
  <Lines>160</Lines>
  <Paragraphs>45</Paragraphs>
  <TotalTime>3</TotalTime>
  <ScaleCrop>false</ScaleCrop>
  <LinksUpToDate>false</LinksUpToDate>
  <CharactersWithSpaces>22618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2023-04-10T14:33:00Z</dcterms:created>
  <dc:creator>Aijun CAO</dc:creator>
  <cp:lastModifiedBy>ZTE</cp:lastModifiedBy>
  <cp:lastPrinted>2015-02-02T11:17:00Z</cp:lastPrinted>
  <dcterms:modified xsi:type="dcterms:W3CDTF">2023-11-03T16:28:55Z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08732BBF27724C5BA26F60B62337106C</vt:lpwstr>
  </property>
</Properties>
</file>